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5.png" ContentType="image/png"/>
  <Override PartName="/word/media/rId44.png" ContentType="image/png"/>
  <Override PartName="/word/media/rId42.png" ContentType="image/png"/>
  <Override PartName="/word/media/rId24.png" ContentType="image/png"/>
  <Override PartName="/word/media/rId32.png" ContentType="image/png"/>
  <Override PartName="/word/media/rId31.png" ContentType="image/png"/>
  <Override PartName="/word/media/rId34.png" ContentType="image/png"/>
  <Override PartName="/word/media/rId37.png" ContentType="image/png"/>
  <Override PartName="/word/media/rId3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2016-07-27</w:t>
      </w:r>
    </w:p>
    <w:p>
      <w:pPr>
        <w:pStyle w:val="Abstract"/>
      </w:pPr>
      <w:r>
        <w:t xml:space="preserve">Abstract</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the</w:t>
      </w:r>
      <w:r>
        <w:t xml:space="preserve"> </w:t>
      </w:r>
      <w:r>
        <w:t xml:space="preserve">mammalian</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and</w:t>
      </w:r>
      <w:r>
        <w:t xml:space="preserve"> </w:t>
      </w:r>
      <w:r>
        <w:t xml:space="preserve">changes</w:t>
      </w:r>
      <w:r>
        <w:t xml:space="preserve"> </w:t>
      </w:r>
      <w:r>
        <w:t xml:space="preserve">in</w:t>
      </w:r>
      <w:r>
        <w:t xml:space="preserve"> </w:t>
      </w:r>
      <w:r>
        <w:t xml:space="preserve">shellfish</w:t>
      </w:r>
      <w:r>
        <w:t xml:space="preserve"> </w:t>
      </w:r>
      <w:r>
        <w:t xml:space="preserve">taxa</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changes.</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domestication.</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is the nature of the transition from forager economies to agricultural economies (Higham et al. 2011, White and Bouasisengpaseuth 2008). As a key milestone in complex human-environment interactions, the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dates are uncalibrated unless stated)-- is sparsely represented in the archaeological record. We have a rich and well-documented record for the later Holocene when people were living more sedentary lifestyles, for example at Khok Phanom Di in Thailand and Man Bac in Vietnam (Oxenham et al. 2011). And we have many cave and rockshelter sites representing Pleistocene forager lifestyles, such as Tham Lod in Thailand and Xom Trai in Vietnam.</w:t>
      </w:r>
    </w:p>
    <w:p>
      <w:pPr>
        <w:pStyle w:val="BodyText"/>
      </w:pPr>
      <w:r>
        <w:t xml:space="preserve">However, during the middle Holocene, the archaeological record in mainland SEA is particularly sparse. This major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settlements expanded from primarily karstic upland and estuarine landscapes during the early Holocene to include inland alluvial lowland villages by the late Holocene (White, 2011). But the current sparsity of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detailed history of sea levels, relative to the region. This provides a unique opportunity to investigate locally contingent factors such as sea level changes on human subsistence behaviours at a critical time in the period of the transition from forager economies to agricultural economies. We report on a geoarchaeological analysis of the site to provide a local environmental context to the human occupation, as well as helping to understand site formation processes and artefact taphonomy.</w:t>
      </w:r>
    </w:p>
    <w:p>
      <w:pPr>
        <w:pStyle w:val="Heading2"/>
      </w:pPr>
      <w:bookmarkStart w:id="23" w:name="background"/>
      <w:bookmarkEnd w:id="23"/>
      <w:r>
        <w:t xml:space="preserve">Background</w:t>
      </w:r>
    </w:p>
    <w:p>
      <w:pPr>
        <w:pStyle w:val="FirstParagraph"/>
      </w:pPr>
      <w:r>
        <w:t xml:space="preserve">The Guangxi Province of southern China has extensive evidence of a forager economy with a semi-sedentary lifestyle during c. 7-4 k BP (Higham, 2013). Cave occupation continues until 6 k BC in Xianrendong and 5–4 k BC in Zengpiyan, and more than 30 open sites containing shell middens have been found on the terraces of the Zuojiang, Youjiang and Yongjiang rivers near Nanning, in southern Guangxi (Chi and Hung, 2012; Fu; 2002). Occupation of these sites, characterized by the largest, Dingsishan, spans 7000-3500 BC.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3.5-3.8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just 10.6-12.3 k BP (Rabett et al., 2011). At sites in Thailand there is a gap between cave occupation and open site occupation. At Lang Rongrien rockshelter on peninsular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A key challenge here is that the burials disturb the stratigraphy, making it difficult to assess continuity between forager occupation and later activity. There is also the possibility that open air sites were continuously occupied in the same way, but have been destroyed due to exposure to the weather. At extant open air sites, the record starts at around 4 k BP, for example at Khok Phanom Di (Higham and Thosarat, 2004) and Nong Nor (Higham and Thosarat 1998), both near the Bang Pakong River, southeast of Bangkok, and at Ban Non Wat in the north east of Thailand (Higham and Kijngam, 2011). Occupation at these sites is characterized by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The highstand has been documented in the Straits of Malacca (Streif, 1979; Geyh et al., 1979; Hesp et al., 1998), Phuket, Southwest Thailand (Scoffin and Le Tissier, 1998), and Malay Peninsula (Tjia, 1996; Kamaludin, 2001), with magitude up to +5 m in some locations. The highstand was the result of a combination of geoidal eustacy and hydro- and glacio-isostacy . This high stand event, combined with a low landscape such as in the Pang Nga region, makes the coastal karst of Krabi well-suited to assessing the effects of local environmental change on forager groups during a time of major transitions in subsistence.</w:t>
      </w:r>
    </w:p>
    <w:p>
      <w:pPr>
        <w:pStyle w:val="BodyText"/>
      </w:pPr>
      <w:r>
        <w:t xml:space="preserve">There are limited data available for reconstructions of Holocene sea levels in Southeast Asia.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2700 BP to a maximum of 2 m amsl at 2.5 k BP. Regression continued from that time until the present sea levels were reached at 1.5 BP. 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 Peninsula Malaysia. Scoffin and Le Tissier (1998) dated 11 intertidal reef-flat corals (microatolls) to identify a +1 m high stand at about 6 k BP at Phuket, Southern Thailand. In their review of these data,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ka BP, the sea level rose from 0 m to +5 m along the Sunda Shelf, marking the regional the mid-Holocene highstand. Following this highstand, the sea level fell gradually and reached the modern level at about 1 k BP.</w:t>
      </w:r>
    </w:p>
    <w:p>
      <w:pPr>
        <w:pStyle w:val="BodyText"/>
      </w:pPr>
      <w:r>
        <w:t xml:space="preserve">Previous research into archaeological correlates of these sea level changes in peninsula Thailand have been summarized by Anderson (2005). He describes faunal evidence from Lang Rongrien that has increases in marine shellfish around 7.5 k BP and between 4.0 k and 2.5 BP. Anderson proposes that the increases in marine shellfish at the site are probably related to increases in sea levels. A small number of other sites have been previously investigated in several provinces of peninsula Thailand. For example, Moh Khiew in Krabi with human remains at 25 k BP (Auetrakulvit et al., 2012, Chitkament, 2007; Matsumara and Pookajorn, 2005; Pookajorn, 1994), Tham Khao Khi Chan in Surat Thani Province has occupation layers dating from 6.06 k BP to 4.25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4.75 k and 5.25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does not give a clear picture of stratigraphic integrity or the subsistence strategies represented at the sites. The goal of our work at Khao Toh Chong was to build on this previous work, not only by collecting an assemblage spanning the Holocene, but also by conducting geoarchaeological analyses at the site to assess stratigraphic integrity and provide local environmental context to the human occupation.</w:t>
      </w:r>
    </w:p>
    <w:p>
      <w:pPr>
        <w:pStyle w:val="Figure"/>
      </w:pPr>
      <w:r>
        <w:drawing>
          <wp:inline>
            <wp:extent cx="5943600" cy="2971800"/>
            <wp:effectExtent b="0" l="0" r="0" t="0"/>
            <wp:docPr descr=""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FirstParagraph"/>
      </w:pPr>
      <w:r>
        <w:t xml:space="preserve">Figure 1: Maps of the region and local area of the Khao Toh Chong rockshelter. The majority of the landscape between the site and the coast is &lt;30 m above the current sea level.</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in 5 cm units to a depth of 1.6 m below the surface at Khao Toh Chong rockshelter (Figure 1). Excavation units with similar depositional qualities were grouped into contexts for comparison and analysis, this process is described in detail in Van Vlack (2014). Careful observations were made for traces of disturbance that might mix archaeological materials from different time periods. Excavated sediments were sieved using 5 mm and 10 mm screens. The site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as well as trapping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meters below the surface. In trench B, excavations were obstructed by bedrock in the northwest and southwest quadrants Subsequently, excavation depths in trench B extended to approximately 2.0 meters in the northeast and southeast parts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might assist in interpreting the archaeological record, we analysed several physical and chemical attributes of the sediment in the archaeological deposit. Changes in particle size distributions, pH, electrical conductivity (EC), Soil organic material (SOM), calcium carbonate content, Magnetic susceptibility, XRD and ICP-AES can indicate changes in the sources of sediments accumulating at the sites, and the mechanisms of accumulation. Carbon isotopes, pollen and phytoliths can indicate how vegetation has changed at the site location. Taken together, these physical and chemical attributes can help reveal change or stasis in environmental conditions during the time of human occupation at the site that may help us understand the relationship between human behaviour and the mid-Holocene high stand event.</w:t>
      </w:r>
    </w:p>
    <w:p>
      <w:pPr>
        <w:pStyle w:val="BodyText"/>
      </w:pPr>
      <w:r>
        <w:t xml:space="preserve">Bulk sediment samples collected from a column taken from the south wall of excavation trench A. A 1 g sub-sample was dried at 60°C for 24 hours for particle size analysis. The sub-sample was sieved to remove the &gt;2 mm particles and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(after Gale and Hoare, 1991), as the percent of mass lost after heating samples to 600ºC for 4 hours and 1000ºC for 2 hours. Magnetic susceptibility was measured using a Bartington MS2 Magnetic Susceptibility Meter with 10 cm^3 of sediment analyzed in sample pots at low and high frequency following Dearing (1999). Three replicates for each sample measurement of low and high frequency susceptibility were taken following Gale and Hoare (1991).</w:t>
      </w:r>
    </w:p>
    <w:p>
      <w:pPr>
        <w:pStyle w:val="BodyText"/>
      </w:pPr>
      <w:r>
        <w:t xml:space="preserve">Samples for organic Carbon isotope analysis consisted of a 2 g sub-sample dried at 60°C for 24 hours, sieved to remove the &gt;2mm particle size fraction (Hartman, 2011), with organics were picked out and discarded before samples were ground for 5 minutes using a mortar and pestle. To remove mineral carbonates the samples were placed in 60 mL of 1 M HCl for 24 hours, stirring every 10 hours (Millwood and Boutton, 1998). The HCl was rinsed off three cycles of adding 60 mL of deionized water was stirred into the samples for 1 minute and then drying at 60°C for 48 h. Isotope measurements were conducted using a Costech Elemental Analyzer, Conflo III, MAT253 at the UW Earth and Space Sciences IsoLab.</w:t>
      </w:r>
    </w:p>
    <w:p>
      <w:pPr>
        <w:pStyle w:val="BodyText"/>
      </w:pPr>
      <w:r>
        <w:t xml:space="preserve">For XRD analysis, samples were scanned on a Bruker D8 Focus X-Ray Diffractometer with a Cu radiation source.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it was removed and dried for another 60°C for 24 hours. After a final grinding, samples were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was added to 10ml of HNO</w:t>
      </w:r>
      <w:r>
        <w:rPr>
          <w:vertAlign w:val="subscript"/>
        </w:rPr>
        <w:t xml:space="preserve">3</w:t>
      </w:r>
      <w:r>
        <w:t xml:space="preserve"> </w:t>
      </w:r>
      <w:r>
        <w:t xml:space="preserve">and heated at 90°C for 15 minutes (Misarti et al., 2011). Another 5ml of HNO</w:t>
      </w:r>
      <w:r>
        <w:rPr>
          <w:vertAlign w:val="subscript"/>
        </w:rPr>
        <w:t xml:space="preserve">3</w:t>
      </w:r>
      <w:r>
        <w:t xml:space="preserve"> </w:t>
      </w:r>
      <w:r>
        <w:t xml:space="preserve">was next added and heated at 90°C for 60 minutes. Next, deionized water and 30% H</w:t>
      </w:r>
      <w:r>
        <w:rPr>
          <w:vertAlign w:val="subscript"/>
        </w:rPr>
        <w:t xml:space="preserve">2</w:t>
      </w:r>
      <w:r>
        <w:t xml:space="preserve">O</w:t>
      </w:r>
      <w:r>
        <w:rPr>
          <w:vertAlign w:val="subscript"/>
        </w:rPr>
        <w:t xml:space="preserve">2</w:t>
      </w:r>
      <w:r>
        <w:t xml:space="preserve"> </w:t>
      </w:r>
      <w:r>
        <w:t xml:space="preserve">were added and 10ml HCl was added and heated. The samples were diluted with deionized water and filtered before ICP-AES analysis. This acid digest provides a broad spectrum of elements in a known volumetric concentration, suitable for ICP-AES analysis (Balcerzak, 2002; Carter, 1993). The samples were analyzed in a Perkin Elmer Optima 8300DV in the University of Washington Chemistry Department.</w:t>
      </w:r>
    </w:p>
    <w:p>
      <w:pPr>
        <w:pStyle w:val="BodyText"/>
      </w:pPr>
      <w:r>
        <w:t xml:space="preserve">We were unable to extract quantifiable amounts of pollen or phytoliths from the sediment samples (further details are reported in Van Vlack, 2014). This is likely due to the frequent wetting and drying of the rockshelter deposit which creates poor conditions for microflora preservation.</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A-SW of KTC are reported in Conrad et al. (2013) and Van Vlack (2014). To summarise, we conducted faunal identification using comparative collections at the National Science Museum, Natural History Museum, National Science Museum, of Thailand. Comparative and reference literature included Auetrakulvit (2004), Brandt (1974), and Lekagul and McNeely (1977). Quantification of the assemblage followed Lyman (2008) for taxonomic abundance. Shannon’s index analysis was modeled after Magurran (2004), and Pielou’s index was modeled after McCune et al. (2002).</w:t>
      </w:r>
    </w:p>
    <w:p>
      <w:pPr>
        <w:pStyle w:val="Heading2"/>
      </w:pPr>
      <w:bookmarkStart w:id="29" w:name="results"/>
      <w:bookmarkEnd w:id="29"/>
      <w:r>
        <w:t xml:space="preserve">Results</w:t>
      </w:r>
    </w:p>
    <w:p>
      <w:pPr>
        <w:pStyle w:val="FirstParagraph"/>
      </w:pPr>
      <w:r>
        <w:t xml:space="preserve">They key findings from the field observations of our excavations were a faunal assemblage in a deposit with relatively few macroscopic traces of post-depositional disturbance (Figure 2). We did not encounter any burials or animal burrows and there is very limited termite activity in the deposit. We did not reach bedrock due to time constraints.</w:t>
      </w:r>
    </w:p>
    <w:p>
      <w:pPr>
        <w:pStyle w:val="BodyText"/>
      </w:pPr>
      <w:r>
        <w:t xml:space="preserve">All excavated materials are currently stored at the Silpakorn University Faculty of Archaeology's Phetchaburi campus. The raw data and code used to generate the results presented here have been organised into research compendium following the structure of an R package (Wickham, 2015) to enable reproducibility of the results (Marwick 2016). This compendium is archived online at</w:t>
      </w:r>
      <w:r>
        <w:t xml:space="preserve"> </w:t>
      </w:r>
      <w:hyperlink r:id="rId30">
        <w:r>
          <w:rPr>
            <w:rStyle w:val="Hyperlink"/>
          </w:rPr>
          <w:t xml:space="preserve">https://dx.doi.org/10.6084/m9.figshare.2065602.v1</w:t>
        </w:r>
      </w:hyperlink>
    </w:p>
    <w:p>
      <w:pPr>
        <w:pStyle w:val="Figure"/>
      </w:pPr>
      <w:r>
        <w:drawing>
          <wp:inline>
            <wp:extent cx="5943600" cy="3448897"/>
            <wp:effectExtent b="0" l="0" r="0" t="0"/>
            <wp:docPr descr=""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31"/>
                    <a:stretch>
                      <a:fillRect/>
                    </a:stretch>
                  </pic:blipFill>
                  <pic:spPr bwMode="auto">
                    <a:xfrm>
                      <a:off x="0" y="0"/>
                      <a:ext cx="5943600" cy="3448897"/>
                    </a:xfrm>
                    <a:prstGeom prst="rect">
                      <a:avLst/>
                    </a:prstGeom>
                    <a:noFill/>
                    <a:ln w="9525">
                      <a:noFill/>
                      <a:headEnd/>
                      <a:tailEnd/>
                    </a:ln>
                  </pic:spPr>
                </pic:pic>
              </a:graphicData>
            </a:graphic>
          </wp:inline>
        </w:drawing>
      </w:r>
    </w:p>
    <w:p>
      <w:pPr>
        <w:pStyle w:val="FirstParagraph"/>
      </w:pPr>
      <w:r>
        <w:t xml:space="preserve">Figure 3: South section of Khao Toh Chong rockshelter trench A. The radiocarbon ages are the midpoints of the 95% calibrated age intervals. (c) indicates charcoal and (s) indicates shell as the material dated.</w:t>
      </w:r>
    </w:p>
    <w:p>
      <w:pPr>
        <w:pStyle w:val="Figure"/>
      </w:pPr>
      <w:r>
        <w:drawing>
          <wp:inline>
            <wp:extent cx="5943600" cy="4787279"/>
            <wp:effectExtent b="0" l="0" r="0" t="0"/>
            <wp:docPr descr="" id="1" name="Picture"/>
            <a:graphic>
              <a:graphicData uri="http://schemas.openxmlformats.org/drawingml/2006/picture">
                <pic:pic>
                  <pic:nvPicPr>
                    <pic:cNvPr descr="../figures/maps/ktc11_site_map.png" id="0" name="Picture"/>
                    <pic:cNvPicPr>
                      <a:picLocks noChangeArrowheads="1" noChangeAspect="1"/>
                    </pic:cNvPicPr>
                  </pic:nvPicPr>
                  <pic:blipFill>
                    <a:blip r:embed="rId32"/>
                    <a:stretch>
                      <a:fillRect/>
                    </a:stretch>
                  </pic:blipFill>
                  <pic:spPr bwMode="auto">
                    <a:xfrm>
                      <a:off x="0" y="0"/>
                      <a:ext cx="5943600" cy="4787279"/>
                    </a:xfrm>
                    <a:prstGeom prst="rect">
                      <a:avLst/>
                    </a:prstGeom>
                    <a:noFill/>
                    <a:ln w="9525">
                      <a:noFill/>
                      <a:headEnd/>
                      <a:tailEnd/>
                    </a:ln>
                  </pic:spPr>
                </pic:pic>
              </a:graphicData>
            </a:graphic>
          </wp:inline>
        </w:drawing>
      </w:r>
    </w:p>
    <w:p>
      <w:pPr>
        <w:pStyle w:val="FirstParagraph"/>
      </w:pPr>
      <w:r>
        <w:t xml:space="preserve">Figure 2: Plan of Khao Toh Chong rockshelter. The top image shows a view looking North, with trench A in the foreground. The middle image shows the South section of trench B. The bottom image shows the South section of trench A</w:t>
      </w:r>
    </w:p>
    <w:p>
      <w:pPr>
        <w:pStyle w:val="Heading3"/>
      </w:pPr>
      <w:bookmarkStart w:id="33" w:name="chronology"/>
      <w:bookmarkEnd w:id="33"/>
      <w:r>
        <w:t xml:space="preserve">Chronology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1</w:t>
            </w:r>
          </w:p>
        </w:tc>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10.000</w:t>
            </w:r>
          </w:p>
        </w:tc>
        <w:tc>
          <w:p>
            <w:pPr>
              <w:pStyle w:val="Compact"/>
              <w:jc w:val="right"/>
            </w:pPr>
            <w:r>
              <w:t xml:space="preserve">275.00</w:t>
            </w:r>
          </w:p>
        </w:tc>
      </w:tr>
      <w:tr>
        <w:tc>
          <w:p>
            <w:pPr>
              <w:pStyle w:val="Compact"/>
              <w:jc w:val="left"/>
            </w:pPr>
            <w:r>
              <w:t xml:space="preserve">2</w:t>
            </w:r>
          </w:p>
        </w:tc>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0.000</w:t>
            </w:r>
          </w:p>
        </w:tc>
        <w:tc>
          <w:p>
            <w:pPr>
              <w:pStyle w:val="Compact"/>
              <w:jc w:val="right"/>
            </w:pPr>
            <w:r>
              <w:t xml:space="preserve">291.00</w:t>
            </w:r>
          </w:p>
        </w:tc>
      </w:tr>
      <w:tr>
        <w:tc>
          <w:p>
            <w:pPr>
              <w:pStyle w:val="Compact"/>
              <w:jc w:val="left"/>
            </w:pPr>
            <w:r>
              <w:t xml:space="preserve">21</w:t>
            </w:r>
          </w:p>
        </w:tc>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1876.000</w:t>
            </w:r>
          </w:p>
        </w:tc>
        <w:tc>
          <w:p>
            <w:pPr>
              <w:pStyle w:val="Compact"/>
              <w:jc w:val="right"/>
            </w:pPr>
            <w:r>
              <w:t xml:space="preserve">1985.00</w:t>
            </w:r>
          </w:p>
        </w:tc>
      </w:tr>
      <w:tr>
        <w:tc>
          <w:p>
            <w:pPr>
              <w:pStyle w:val="Compact"/>
              <w:jc w:val="left"/>
            </w:pPr>
            <w:r>
              <w:t xml:space="preserve">3</w:t>
            </w:r>
          </w:p>
        </w:tc>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2878.975</w:t>
            </w:r>
          </w:p>
        </w:tc>
        <w:tc>
          <w:p>
            <w:pPr>
              <w:pStyle w:val="Compact"/>
              <w:jc w:val="right"/>
            </w:pPr>
            <w:r>
              <w:t xml:space="preserve">3054.00</w:t>
            </w:r>
          </w:p>
        </w:tc>
      </w:tr>
      <w:tr>
        <w:tc>
          <w:p>
            <w:pPr>
              <w:pStyle w:val="Compact"/>
              <w:jc w:val="left"/>
            </w:pPr>
            <w:r>
              <w:t xml:space="preserve">4</w:t>
            </w:r>
          </w:p>
        </w:tc>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6313.000</w:t>
            </w:r>
          </w:p>
        </w:tc>
        <w:tc>
          <w:p>
            <w:pPr>
              <w:pStyle w:val="Compact"/>
              <w:jc w:val="right"/>
            </w:pPr>
            <w:r>
              <w:t xml:space="preserve">6424.00</w:t>
            </w:r>
          </w:p>
        </w:tc>
      </w:tr>
      <w:tr>
        <w:tc>
          <w:p>
            <w:pPr>
              <w:pStyle w:val="Compact"/>
              <w:jc w:val="left"/>
            </w:pPr>
            <w:r>
              <w:t xml:space="preserve">5</w:t>
            </w:r>
          </w:p>
        </w:tc>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7765.000</w:t>
            </w:r>
          </w:p>
        </w:tc>
        <w:tc>
          <w:p>
            <w:pPr>
              <w:pStyle w:val="Compact"/>
              <w:jc w:val="right"/>
            </w:pPr>
            <w:r>
              <w:t xml:space="preserve">7961.00</w:t>
            </w:r>
          </w:p>
        </w:tc>
      </w:tr>
      <w:tr>
        <w:tc>
          <w:p>
            <w:pPr>
              <w:pStyle w:val="Compact"/>
              <w:jc w:val="left"/>
            </w:pPr>
            <w:r>
              <w:t xml:space="preserve">6</w:t>
            </w:r>
          </w:p>
        </w:tc>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13558.000</w:t>
            </w:r>
          </w:p>
        </w:tc>
        <w:tc>
          <w:p>
            <w:pPr>
              <w:pStyle w:val="Compact"/>
              <w:jc w:val="right"/>
            </w:pPr>
            <w:r>
              <w:t xml:space="preserve">13732.00</w:t>
            </w:r>
          </w:p>
        </w:tc>
      </w:tr>
      <w:tr>
        <w:tc>
          <w:p>
            <w:pPr>
              <w:pStyle w:val="Compact"/>
              <w:jc w:val="left"/>
            </w:pPr>
            <w:r>
              <w:t xml:space="preserve">7</w:t>
            </w:r>
          </w:p>
        </w:tc>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13745.975</w:t>
            </w:r>
          </w:p>
        </w:tc>
        <w:tc>
          <w:p>
            <w:pPr>
              <w:pStyle w:val="Compact"/>
              <w:jc w:val="right"/>
            </w:pPr>
            <w:r>
              <w:t xml:space="preserve">13980.00</w:t>
            </w:r>
          </w:p>
        </w:tc>
      </w:tr>
      <w:tr>
        <w:tc>
          <w:p>
            <w:pPr>
              <w:pStyle w:val="Compact"/>
              <w:jc w:val="left"/>
            </w:pPr>
            <w:r>
              <w:t xml:space="preserve">8</w:t>
            </w:r>
          </w:p>
        </w:tc>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15410.975</w:t>
            </w:r>
          </w:p>
        </w:tc>
        <w:tc>
          <w:p>
            <w:pPr>
              <w:pStyle w:val="Compact"/>
              <w:jc w:val="right"/>
            </w:pPr>
            <w:r>
              <w:t xml:space="preserve">15736.02</w:t>
            </w:r>
          </w:p>
        </w:tc>
      </w:tr>
      <w:tr>
        <w:tc>
          <w:p>
            <w:pPr>
              <w:pStyle w:val="Compact"/>
              <w:jc w:val="left"/>
            </w:pPr>
            <w:r>
              <w:t xml:space="preserve">9</w:t>
            </w:r>
          </w:p>
        </w:tc>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13048.975</w:t>
            </w:r>
          </w:p>
        </w:tc>
        <w:tc>
          <w:p>
            <w:pPr>
              <w:pStyle w:val="Compact"/>
              <w:jc w:val="right"/>
            </w:pPr>
            <w:r>
              <w:t xml:space="preserve">13168.00</w:t>
            </w:r>
          </w:p>
        </w:tc>
      </w:tr>
    </w:tbl>
    <w:p>
      <w:pPr>
        <w:pStyle w:val="BodyText"/>
      </w:pPr>
      <w:r>
        <w:t xml:space="preserve">Table 1: Summary of radiocarbon dates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plot_of_calibrated_dates-1.png" id="0" name="Picture"/>
                    <pic:cNvPicPr>
                      <a:picLocks noChangeArrowheads="1" noChangeAspect="1"/>
                    </pic:cNvPicPr>
                  </pic:nvPicPr>
                  <pic:blipFill>
                    <a:blip r:embed="rId34"/>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4: Depth-age plot of calibrated radiocarbon dates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unnamed-chunk-1-1.png" id="0" name="Picture"/>
                    <pic:cNvPicPr>
                      <a:picLocks noChangeArrowheads="1" noChangeAspect="1"/>
                    </pic:cNvPicPr>
                  </pic:nvPicPr>
                  <pic:blipFill>
                    <a:blip r:embed="rId35"/>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BodyText"/>
      </w:pPr>
      <w:r>
        <w:t xml:space="preserve">Five charcoal samples and five shell samples returned radiocarbon age determinations. The shell's ages are offset from the charcoal ages by an average of 3005 years, indicating a substantial reservoir effect. Considering only the charcoal dates, the excavated deposit spans from before 13.5 k cal. BP through to about 0.15 k cal. BP (Figure 5).</w:t>
      </w:r>
    </w:p>
    <w:p>
      <w:pPr>
        <w:pStyle w:val="BodyText"/>
      </w:pPr>
      <w:r>
        <w:t xml:space="preserve">The depth-age relationship for the dated samples is strongly linear, suggesting a constant rate of sediment accumulation (Figure 5).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Heading3"/>
      </w:pPr>
      <w:bookmarkStart w:id="36" w:name="geoarchaeology"/>
      <w:bookmarkEnd w:id="36"/>
      <w:r>
        <w:t xml:space="preserve">Geoarchaeology</w:t>
      </w:r>
    </w:p>
    <w:p>
      <w:pPr>
        <w:pStyle w:val="FirstParagraph"/>
      </w:pPr>
      <w:r>
        <w:drawing>
          <wp:inline>
            <wp:extent cx="4610100" cy="3695700"/>
            <wp:effectExtent b="0" l="0" r="0" t="0"/>
            <wp:docPr descr="" id="1" name="Picture"/>
            <a:graphic>
              <a:graphicData uri="http://schemas.openxmlformats.org/drawingml/2006/picture">
                <pic:pic>
                  <pic:nvPicPr>
                    <pic:cNvPr descr="../figures/stratiplot-1.png" id="0" name="Picture"/>
                    <pic:cNvPicPr>
                      <a:picLocks noChangeArrowheads="1" noChangeAspect="1"/>
                    </pic:cNvPicPr>
                  </pic:nvPicPr>
                  <pic:blipFill>
                    <a:blip r:embed="rId37"/>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6: Summary of bulk sediment analysis of samples from Khao Toh Chong. Magnetic susceptibility is reported as low frequency mass specific units 10^8 m^3 kg^-1</w:t>
      </w:r>
    </w:p>
    <w:p>
      <w:pPr>
        <w:pStyle w:val="BodyText"/>
      </w:pPr>
      <w:r>
        <w:t xml:space="preserve">Analysis of sediments collected from the 2011 Khao Toh Chong excavations show a relatively constant depositional environment. The deposit is mostly sandy silt with occasional additions of coarser sands and gravels (for example in context A-4, 0.3 m below surface). Slight fluctuations in particle size distribution and carbonate percentage likely reflect minor variations in contributions from alluvial, fluvial and colluvial inputs (including limestone eroding from the karst tower) (Gale and Hoare 1991). Overall, the picture is of relatively constant and uninterrupted deposition.</w:t>
      </w:r>
    </w:p>
    <w:p>
      <w:pPr>
        <w:pStyle w:val="Heading4"/>
      </w:pPr>
      <w:bookmarkStart w:id="38" w:name="chemical-analyses-and-magnetic-susceptibility"/>
      <w:bookmarkEnd w:id="38"/>
      <w:r>
        <w:t xml:space="preserve">Chemical analyses and magnetic susceptibility</w:t>
      </w:r>
    </w:p>
    <w:p>
      <w:pPr>
        <w:pStyle w:val="FirstParagraph"/>
      </w:pPr>
      <w:r>
        <w:t xml:space="preserve">The results of the basic chemical, magnetic susceptibility and particle size analyses are depicted in Figure 6. pH values at KTC are strongly alkaline throughout, with a shift occurring from pH 9.1 to 7.6 between contexts A-5 and A-6 (0.4-0.53 m below surface). Electrical conductivity (as a proxy for soluble minerals) and soil organic matter decline sharply below the surface, probably due to natural decay of organics. Soil carbonates are steady between 8% and 12% throughout. Low frequency magnetic susceptibility peaks at 308 in context A-5 (0.40 m below surface), indicating an enrichment of magnetic minerals in the deposit. This context also has the highest proportion of carbonates (12%), which would reduce magnetic susceptibility, so the change in A-5 is not a simple dilution of magnetic minerals by diagmatic minerals. Frequency dependency tracks the particle size statistics more closely than it does magnetic susceptibility, indicating that soil formation and weathering processes control magnetic susceptibility more than burning processes such as cooking at the site (Dearing et al. 1996).</w:t>
      </w:r>
    </w:p>
    <w:p>
      <w:pPr>
        <w:pStyle w:val="Heading4"/>
      </w:pPr>
      <w:bookmarkStart w:id="39" w:name="carbon-isotope-analysis"/>
      <w:bookmarkEnd w:id="39"/>
      <w:r>
        <w:t xml:space="preserve">Carbon isotope analysis</w:t>
      </w:r>
    </w:p>
    <w:p>
      <w:pPr>
        <w:pStyle w:val="FirstParagraph"/>
      </w:pPr>
      <w:r>
        <w:t xml:space="preserve">The δ13C values range between -28.75 and -26.2, with values becoming increasingly negative in more recent times (Figure 6). This trend in δ13C values over time may be explained by isotopic fractionation and microbial activity (Lerch et al., 2011; Schweizer et al., 1999; Tieszen, 1991; Wynn, 2007), rather than major vegetation change throughout this period. This indicates an overall dominance of C3 plants, suggestive of forested-grassland vegetation, including evergreen trees and shrubs, surrounding the site (DeNiro, 1987; Yoneyama et al., 2010).</w:t>
      </w:r>
    </w:p>
    <w:p>
      <w:pPr>
        <w:pStyle w:val="Heading4"/>
      </w:pPr>
      <w:bookmarkStart w:id="40" w:name="x-ray-diffraction"/>
      <w:bookmarkEnd w:id="40"/>
      <w:r>
        <w:t xml:space="preserve">X-ray Diffraction</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BodyText"/>
      </w:pPr>
      <w:r>
        <w:t xml:space="preserve">Table 2: Summary of X-ray diffraction data from Khao Toh Chong</w:t>
      </w:r>
    </w:p>
    <w:p>
      <w:pPr>
        <w:pStyle w:val="BodyText"/>
      </w:pPr>
      <w:r>
        <w:t xml:space="preserve">The XRD analysis showed quartz and calcite present in all samples, indicating a similar source of sediments throughout the depositional history of the site. Kaolinite was identified in samples from A-2, A-3, and A-6,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Heading4"/>
      </w:pPr>
      <w:bookmarkStart w:id="41" w:name="inductively-coupled-plasma-atomic-emission-spectrometry"/>
      <w:bookmarkEnd w:id="41"/>
      <w:r>
        <w:t xml:space="preserve">Inductively coupled plasma-atomic emission spectrometry</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KTC-B-1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KTC-A-2-DH</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KTC-A-3-DH</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KTC-A-4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KTC-A-5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KTC-A-6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KTC-A-7-up</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KTC-A-8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KTC-A-7lo</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BodyText"/>
      </w:pPr>
      <w:r>
        <w:t xml:space="preserve">Table 3: Elemental concentration by ICP-AES, all measurements are in ppm</w:t>
      </w:r>
    </w:p>
    <w:tbl>
      <w:tblPr>
        <w:tblStyle w:val="TableNormal"/>
        <w:tblW w:type="pct" w:w="0.0"/>
        <w:tblLook w:firstRow="1"/>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Ca</w:t>
            </w:r>
          </w:p>
        </w:tc>
        <w:tc>
          <w:p>
            <w:pPr>
              <w:pStyle w:val="Compact"/>
              <w:jc w:val="right"/>
            </w:pPr>
            <w:r>
              <w:t xml:space="preserve">1.00</w:t>
            </w:r>
          </w:p>
        </w:tc>
        <w:tc>
          <w:p>
            <w:pPr>
              <w:pStyle w:val="Compact"/>
              <w:jc w:val="right"/>
            </w:pPr>
            <w:r>
              <w:t xml:space="preserve">0.92</w:t>
            </w:r>
          </w:p>
        </w:tc>
        <w:tc>
          <w:p>
            <w:pPr>
              <w:pStyle w:val="Compact"/>
              <w:jc w:val="right"/>
            </w:pPr>
            <w:r>
              <w:t xml:space="preserve">0.89</w:t>
            </w:r>
          </w:p>
        </w:tc>
        <w:tc>
          <w:p>
            <w:pPr>
              <w:pStyle w:val="Compact"/>
              <w:jc w:val="right"/>
            </w:pPr>
            <w:r>
              <w:t xml:space="preserve">0.86</w:t>
            </w:r>
          </w:p>
        </w:tc>
        <w:tc>
          <w:p>
            <w:pPr>
              <w:pStyle w:val="Compact"/>
              <w:jc w:val="right"/>
            </w:pPr>
            <w:r>
              <w:t xml:space="preserve">0.95</w:t>
            </w:r>
          </w:p>
        </w:tc>
        <w:tc>
          <w:p>
            <w:pPr>
              <w:pStyle w:val="Compact"/>
              <w:jc w:val="right"/>
            </w:pPr>
            <w:r>
              <w:t xml:space="preserve">0.20</w:t>
            </w:r>
          </w:p>
        </w:tc>
        <w:tc>
          <w:p>
            <w:pPr>
              <w:pStyle w:val="Compact"/>
              <w:jc w:val="right"/>
            </w:pPr>
            <w:r>
              <w:t xml:space="preserve">0.89</w:t>
            </w:r>
          </w:p>
        </w:tc>
        <w:tc>
          <w:p>
            <w:pPr>
              <w:pStyle w:val="Compact"/>
              <w:jc w:val="right"/>
            </w:pPr>
            <w:r>
              <w:t xml:space="preserve">0.71</w:t>
            </w:r>
          </w:p>
        </w:tc>
        <w:tc>
          <w:p>
            <w:pPr>
              <w:pStyle w:val="Compact"/>
              <w:jc w:val="right"/>
            </w:pPr>
            <w:r>
              <w:t xml:space="preserve">0.95</w:t>
            </w:r>
          </w:p>
        </w:tc>
      </w:tr>
      <w:tr>
        <w:tc>
          <w:p>
            <w:pPr>
              <w:pStyle w:val="Compact"/>
              <w:jc w:val="left"/>
            </w:pPr>
            <w:r>
              <w:t xml:space="preserve">Fe</w:t>
            </w:r>
          </w:p>
        </w:tc>
        <w:tc>
          <w:p>
            <w:pPr>
              <w:pStyle w:val="Compact"/>
              <w:jc w:val="right"/>
            </w:pPr>
            <w:r>
              <w:t xml:space="preserve">0.92</w:t>
            </w:r>
          </w:p>
        </w:tc>
        <w:tc>
          <w:p>
            <w:pPr>
              <w:pStyle w:val="Compact"/>
              <w:jc w:val="right"/>
            </w:pPr>
            <w:r>
              <w:t xml:space="preserve">1.00</w:t>
            </w:r>
          </w:p>
        </w:tc>
        <w:tc>
          <w:p>
            <w:pPr>
              <w:pStyle w:val="Compact"/>
              <w:jc w:val="right"/>
            </w:pPr>
            <w:r>
              <w:t xml:space="preserve">0.86</w:t>
            </w:r>
          </w:p>
        </w:tc>
        <w:tc>
          <w:p>
            <w:pPr>
              <w:pStyle w:val="Compact"/>
              <w:jc w:val="right"/>
            </w:pPr>
            <w:r>
              <w:t xml:space="preserve">0.76</w:t>
            </w:r>
          </w:p>
        </w:tc>
        <w:tc>
          <w:p>
            <w:pPr>
              <w:pStyle w:val="Compact"/>
              <w:jc w:val="right"/>
            </w:pPr>
            <w:r>
              <w:t xml:space="preserve">0.94</w:t>
            </w:r>
          </w:p>
        </w:tc>
        <w:tc>
          <w:p>
            <w:pPr>
              <w:pStyle w:val="Compact"/>
              <w:jc w:val="right"/>
            </w:pPr>
            <w:r>
              <w:t xml:space="preserve">-0.09</w:t>
            </w:r>
          </w:p>
        </w:tc>
        <w:tc>
          <w:p>
            <w:pPr>
              <w:pStyle w:val="Compact"/>
              <w:jc w:val="right"/>
            </w:pPr>
            <w:r>
              <w:t xml:space="preserve">0.97</w:t>
            </w:r>
          </w:p>
        </w:tc>
        <w:tc>
          <w:p>
            <w:pPr>
              <w:pStyle w:val="Compact"/>
              <w:jc w:val="right"/>
            </w:pPr>
            <w:r>
              <w:t xml:space="preserve">0.82</w:t>
            </w:r>
          </w:p>
        </w:tc>
        <w:tc>
          <w:p>
            <w:pPr>
              <w:pStyle w:val="Compact"/>
              <w:jc w:val="right"/>
            </w:pPr>
            <w:r>
              <w:t xml:space="preserve">0.91</w:t>
            </w:r>
          </w:p>
        </w:tc>
      </w:tr>
      <w:tr>
        <w:tc>
          <w:p>
            <w:pPr>
              <w:pStyle w:val="Compact"/>
              <w:jc w:val="left"/>
            </w:pPr>
            <w:r>
              <w:t xml:space="preserve">K</w:t>
            </w:r>
          </w:p>
        </w:tc>
        <w:tc>
          <w:p>
            <w:pPr>
              <w:pStyle w:val="Compact"/>
              <w:jc w:val="right"/>
            </w:pPr>
            <w:r>
              <w:t xml:space="preserve">0.89</w:t>
            </w:r>
          </w:p>
        </w:tc>
        <w:tc>
          <w:p>
            <w:pPr>
              <w:pStyle w:val="Compact"/>
              <w:jc w:val="right"/>
            </w:pPr>
            <w:r>
              <w:t xml:space="preserve">0.86</w:t>
            </w:r>
          </w:p>
        </w:tc>
        <w:tc>
          <w:p>
            <w:pPr>
              <w:pStyle w:val="Compact"/>
              <w:jc w:val="right"/>
            </w:pPr>
            <w:r>
              <w:t xml:space="preserve">1.00</w:t>
            </w:r>
          </w:p>
        </w:tc>
        <w:tc>
          <w:p>
            <w:pPr>
              <w:pStyle w:val="Compact"/>
              <w:jc w:val="right"/>
            </w:pPr>
            <w:r>
              <w:t xml:space="preserve">0.82</w:t>
            </w:r>
          </w:p>
        </w:tc>
        <w:tc>
          <w:p>
            <w:pPr>
              <w:pStyle w:val="Compact"/>
              <w:jc w:val="right"/>
            </w:pPr>
            <w:r>
              <w:t xml:space="preserve">0.95</w:t>
            </w:r>
          </w:p>
        </w:tc>
        <w:tc>
          <w:p>
            <w:pPr>
              <w:pStyle w:val="Compact"/>
              <w:jc w:val="right"/>
            </w:pPr>
            <w:r>
              <w:t xml:space="preserve">0.35</w:t>
            </w:r>
          </w:p>
        </w:tc>
        <w:tc>
          <w:p>
            <w:pPr>
              <w:pStyle w:val="Compact"/>
              <w:jc w:val="right"/>
            </w:pPr>
            <w:r>
              <w:t xml:space="preserve">0.82</w:t>
            </w:r>
          </w:p>
        </w:tc>
        <w:tc>
          <w:p>
            <w:pPr>
              <w:pStyle w:val="Compact"/>
              <w:jc w:val="right"/>
            </w:pPr>
            <w:r>
              <w:t xml:space="preserve">0.76</w:t>
            </w:r>
          </w:p>
        </w:tc>
        <w:tc>
          <w:p>
            <w:pPr>
              <w:pStyle w:val="Compact"/>
              <w:jc w:val="right"/>
            </w:pPr>
            <w:r>
              <w:t xml:space="preserve">0.92</w:t>
            </w:r>
          </w:p>
        </w:tc>
      </w:tr>
      <w:tr>
        <w:tc>
          <w:p>
            <w:pPr>
              <w:pStyle w:val="Compact"/>
              <w:jc w:val="left"/>
            </w:pPr>
            <w:r>
              <w:t xml:space="preserve">Mg</w:t>
            </w:r>
          </w:p>
        </w:tc>
        <w:tc>
          <w:p>
            <w:pPr>
              <w:pStyle w:val="Compact"/>
              <w:jc w:val="right"/>
            </w:pPr>
            <w:r>
              <w:t xml:space="preserve">0.86</w:t>
            </w:r>
          </w:p>
        </w:tc>
        <w:tc>
          <w:p>
            <w:pPr>
              <w:pStyle w:val="Compact"/>
              <w:jc w:val="right"/>
            </w:pPr>
            <w:r>
              <w:t xml:space="preserve">0.76</w:t>
            </w:r>
          </w:p>
        </w:tc>
        <w:tc>
          <w:p>
            <w:pPr>
              <w:pStyle w:val="Compact"/>
              <w:jc w:val="right"/>
            </w:pPr>
            <w:r>
              <w:t xml:space="preserve">0.82</w:t>
            </w:r>
          </w:p>
        </w:tc>
        <w:tc>
          <w:p>
            <w:pPr>
              <w:pStyle w:val="Compact"/>
              <w:jc w:val="right"/>
            </w:pPr>
            <w:r>
              <w:t xml:space="preserve">1.00</w:t>
            </w:r>
          </w:p>
        </w:tc>
        <w:tc>
          <w:p>
            <w:pPr>
              <w:pStyle w:val="Compact"/>
              <w:jc w:val="right"/>
            </w:pPr>
            <w:r>
              <w:t xml:space="preserve">0.81</w:t>
            </w:r>
          </w:p>
        </w:tc>
        <w:tc>
          <w:p>
            <w:pPr>
              <w:pStyle w:val="Compact"/>
              <w:jc w:val="right"/>
            </w:pPr>
            <w:r>
              <w:t xml:space="preserve">0.34</w:t>
            </w:r>
          </w:p>
        </w:tc>
        <w:tc>
          <w:p>
            <w:pPr>
              <w:pStyle w:val="Compact"/>
              <w:jc w:val="right"/>
            </w:pPr>
            <w:r>
              <w:t xml:space="preserve">0.71</w:t>
            </w:r>
          </w:p>
        </w:tc>
        <w:tc>
          <w:p>
            <w:pPr>
              <w:pStyle w:val="Compact"/>
              <w:jc w:val="right"/>
            </w:pPr>
            <w:r>
              <w:t xml:space="preserve">0.66</w:t>
            </w:r>
          </w:p>
        </w:tc>
        <w:tc>
          <w:p>
            <w:pPr>
              <w:pStyle w:val="Compact"/>
              <w:jc w:val="right"/>
            </w:pPr>
            <w:r>
              <w:t xml:space="preserve">0.93</w:t>
            </w:r>
          </w:p>
        </w:tc>
      </w:tr>
      <w:tr>
        <w:tc>
          <w:p>
            <w:pPr>
              <w:pStyle w:val="Compact"/>
              <w:jc w:val="left"/>
            </w:pPr>
            <w:r>
              <w:t xml:space="preserve">Mn</w:t>
            </w:r>
          </w:p>
        </w:tc>
        <w:tc>
          <w:p>
            <w:pPr>
              <w:pStyle w:val="Compact"/>
              <w:jc w:val="right"/>
            </w:pPr>
            <w:r>
              <w:t xml:space="preserve">0.95</w:t>
            </w:r>
          </w:p>
        </w:tc>
        <w:tc>
          <w:p>
            <w:pPr>
              <w:pStyle w:val="Compact"/>
              <w:jc w:val="right"/>
            </w:pPr>
            <w:r>
              <w:t xml:space="preserve">0.94</w:t>
            </w:r>
          </w:p>
        </w:tc>
        <w:tc>
          <w:p>
            <w:pPr>
              <w:pStyle w:val="Compact"/>
              <w:jc w:val="right"/>
            </w:pPr>
            <w:r>
              <w:t xml:space="preserve">0.95</w:t>
            </w:r>
          </w:p>
        </w:tc>
        <w:tc>
          <w:p>
            <w:pPr>
              <w:pStyle w:val="Compact"/>
              <w:jc w:val="right"/>
            </w:pPr>
            <w:r>
              <w:t xml:space="preserve">0.81</w:t>
            </w:r>
          </w:p>
        </w:tc>
        <w:tc>
          <w:p>
            <w:pPr>
              <w:pStyle w:val="Compact"/>
              <w:jc w:val="right"/>
            </w:pPr>
            <w:r>
              <w:t xml:space="preserve">1.00</w:t>
            </w:r>
          </w:p>
        </w:tc>
        <w:tc>
          <w:p>
            <w:pPr>
              <w:pStyle w:val="Compact"/>
              <w:jc w:val="right"/>
            </w:pPr>
            <w:r>
              <w:t xml:space="preserve">0.24</w:t>
            </w:r>
          </w:p>
        </w:tc>
        <w:tc>
          <w:p>
            <w:pPr>
              <w:pStyle w:val="Compact"/>
              <w:jc w:val="right"/>
            </w:pPr>
            <w:r>
              <w:t xml:space="preserve">0.86</w:t>
            </w:r>
          </w:p>
        </w:tc>
        <w:tc>
          <w:p>
            <w:pPr>
              <w:pStyle w:val="Compact"/>
              <w:jc w:val="right"/>
            </w:pPr>
            <w:r>
              <w:t xml:space="preserve">0.71</w:t>
            </w:r>
          </w:p>
        </w:tc>
        <w:tc>
          <w:p>
            <w:pPr>
              <w:pStyle w:val="Compact"/>
              <w:jc w:val="right"/>
            </w:pPr>
            <w:r>
              <w:t xml:space="preserve">0.96</w:t>
            </w:r>
          </w:p>
        </w:tc>
      </w:tr>
      <w:tr>
        <w:tc>
          <w:p>
            <w:pPr>
              <w:pStyle w:val="Compact"/>
              <w:jc w:val="left"/>
            </w:pPr>
            <w:r>
              <w:t xml:space="preserve">Na</w:t>
            </w:r>
          </w:p>
        </w:tc>
        <w:tc>
          <w:p>
            <w:pPr>
              <w:pStyle w:val="Compact"/>
              <w:jc w:val="right"/>
            </w:pPr>
            <w:r>
              <w:t xml:space="preserve">0.20</w:t>
            </w:r>
          </w:p>
        </w:tc>
        <w:tc>
          <w:p>
            <w:pPr>
              <w:pStyle w:val="Compact"/>
              <w:jc w:val="right"/>
            </w:pPr>
            <w:r>
              <w:t xml:space="preserve">-0.09</w:t>
            </w:r>
          </w:p>
        </w:tc>
        <w:tc>
          <w:p>
            <w:pPr>
              <w:pStyle w:val="Compact"/>
              <w:jc w:val="right"/>
            </w:pPr>
            <w:r>
              <w:t xml:space="preserve">0.35</w:t>
            </w:r>
          </w:p>
        </w:tc>
        <w:tc>
          <w:p>
            <w:pPr>
              <w:pStyle w:val="Compact"/>
              <w:jc w:val="right"/>
            </w:pPr>
            <w:r>
              <w:t xml:space="preserve">0.34</w:t>
            </w:r>
          </w:p>
        </w:tc>
        <w:tc>
          <w:p>
            <w:pPr>
              <w:pStyle w:val="Compact"/>
              <w:jc w:val="right"/>
            </w:pPr>
            <w:r>
              <w:t xml:space="preserve">0.24</w:t>
            </w:r>
          </w:p>
        </w:tc>
        <w:tc>
          <w:p>
            <w:pPr>
              <w:pStyle w:val="Compact"/>
              <w:jc w:val="right"/>
            </w:pPr>
            <w:r>
              <w:t xml:space="preserve">1.00</w:t>
            </w:r>
          </w:p>
        </w:tc>
        <w:tc>
          <w:p>
            <w:pPr>
              <w:pStyle w:val="Compact"/>
              <w:jc w:val="right"/>
            </w:pPr>
            <w:r>
              <w:t xml:space="preserve">-0.19</w:t>
            </w:r>
          </w:p>
        </w:tc>
        <w:tc>
          <w:p>
            <w:pPr>
              <w:pStyle w:val="Compact"/>
              <w:jc w:val="right"/>
            </w:pPr>
            <w:r>
              <w:t xml:space="preserve">-0.16</w:t>
            </w:r>
          </w:p>
        </w:tc>
        <w:tc>
          <w:p>
            <w:pPr>
              <w:pStyle w:val="Compact"/>
              <w:jc w:val="right"/>
            </w:pPr>
            <w:r>
              <w:t xml:space="preserve">0.25</w:t>
            </w:r>
          </w:p>
        </w:tc>
      </w:tr>
      <w:tr>
        <w:tc>
          <w:p>
            <w:pPr>
              <w:pStyle w:val="Compact"/>
              <w:jc w:val="left"/>
            </w:pPr>
            <w:r>
              <w:t xml:space="preserve">Sr</w:t>
            </w:r>
          </w:p>
        </w:tc>
        <w:tc>
          <w:p>
            <w:pPr>
              <w:pStyle w:val="Compact"/>
              <w:jc w:val="right"/>
            </w:pPr>
            <w:r>
              <w:t xml:space="preserve">0.89</w:t>
            </w:r>
          </w:p>
        </w:tc>
        <w:tc>
          <w:p>
            <w:pPr>
              <w:pStyle w:val="Compact"/>
              <w:jc w:val="right"/>
            </w:pPr>
            <w:r>
              <w:t xml:space="preserve">0.97</w:t>
            </w:r>
          </w:p>
        </w:tc>
        <w:tc>
          <w:p>
            <w:pPr>
              <w:pStyle w:val="Compact"/>
              <w:jc w:val="right"/>
            </w:pPr>
            <w:r>
              <w:t xml:space="preserve">0.82</w:t>
            </w:r>
          </w:p>
        </w:tc>
        <w:tc>
          <w:p>
            <w:pPr>
              <w:pStyle w:val="Compact"/>
              <w:jc w:val="right"/>
            </w:pPr>
            <w:r>
              <w:t xml:space="preserve">0.71</w:t>
            </w:r>
          </w:p>
        </w:tc>
        <w:tc>
          <w:p>
            <w:pPr>
              <w:pStyle w:val="Compact"/>
              <w:jc w:val="right"/>
            </w:pPr>
            <w:r>
              <w:t xml:space="preserve">0.86</w:t>
            </w:r>
          </w:p>
        </w:tc>
        <w:tc>
          <w:p>
            <w:pPr>
              <w:pStyle w:val="Compact"/>
              <w:jc w:val="right"/>
            </w:pPr>
            <w:r>
              <w:t xml:space="preserve">-0.19</w:t>
            </w:r>
          </w:p>
        </w:tc>
        <w:tc>
          <w:p>
            <w:pPr>
              <w:pStyle w:val="Compact"/>
              <w:jc w:val="right"/>
            </w:pPr>
            <w:r>
              <w:t xml:space="preserve">1.00</w:t>
            </w:r>
          </w:p>
        </w:tc>
        <w:tc>
          <w:p>
            <w:pPr>
              <w:pStyle w:val="Compact"/>
              <w:jc w:val="right"/>
            </w:pPr>
            <w:r>
              <w:t xml:space="preserve">0.88</w:t>
            </w:r>
          </w:p>
        </w:tc>
        <w:tc>
          <w:p>
            <w:pPr>
              <w:pStyle w:val="Compact"/>
              <w:jc w:val="right"/>
            </w:pPr>
            <w:r>
              <w:t xml:space="preserve">0.85</w:t>
            </w:r>
          </w:p>
        </w:tc>
      </w:tr>
      <w:tr>
        <w:tc>
          <w:p>
            <w:pPr>
              <w:pStyle w:val="Compact"/>
              <w:jc w:val="left"/>
            </w:pPr>
            <w:r>
              <w:t xml:space="preserve">Ti</w:t>
            </w:r>
          </w:p>
        </w:tc>
        <w:tc>
          <w:p>
            <w:pPr>
              <w:pStyle w:val="Compact"/>
              <w:jc w:val="right"/>
            </w:pPr>
            <w:r>
              <w:t xml:space="preserve">0.71</w:t>
            </w:r>
          </w:p>
        </w:tc>
        <w:tc>
          <w:p>
            <w:pPr>
              <w:pStyle w:val="Compact"/>
              <w:jc w:val="right"/>
            </w:pPr>
            <w:r>
              <w:t xml:space="preserve">0.82</w:t>
            </w:r>
          </w:p>
        </w:tc>
        <w:tc>
          <w:p>
            <w:pPr>
              <w:pStyle w:val="Compact"/>
              <w:jc w:val="right"/>
            </w:pPr>
            <w:r>
              <w:t xml:space="preserve">0.76</w:t>
            </w:r>
          </w:p>
        </w:tc>
        <w:tc>
          <w:p>
            <w:pPr>
              <w:pStyle w:val="Compact"/>
              <w:jc w:val="right"/>
            </w:pPr>
            <w:r>
              <w:t xml:space="preserve">0.66</w:t>
            </w:r>
          </w:p>
        </w:tc>
        <w:tc>
          <w:p>
            <w:pPr>
              <w:pStyle w:val="Compact"/>
              <w:jc w:val="right"/>
            </w:pPr>
            <w:r>
              <w:t xml:space="preserve">0.71</w:t>
            </w:r>
          </w:p>
        </w:tc>
        <w:tc>
          <w:p>
            <w:pPr>
              <w:pStyle w:val="Compact"/>
              <w:jc w:val="right"/>
            </w:pPr>
            <w:r>
              <w:t xml:space="preserve">-0.16</w:t>
            </w:r>
          </w:p>
        </w:tc>
        <w:tc>
          <w:p>
            <w:pPr>
              <w:pStyle w:val="Compact"/>
              <w:jc w:val="right"/>
            </w:pPr>
            <w:r>
              <w:t xml:space="preserve">0.88</w:t>
            </w:r>
          </w:p>
        </w:tc>
        <w:tc>
          <w:p>
            <w:pPr>
              <w:pStyle w:val="Compact"/>
              <w:jc w:val="right"/>
            </w:pPr>
            <w:r>
              <w:t xml:space="preserve">1.00</w:t>
            </w:r>
          </w:p>
        </w:tc>
        <w:tc>
          <w:p>
            <w:pPr>
              <w:pStyle w:val="Compact"/>
              <w:jc w:val="right"/>
            </w:pPr>
            <w:r>
              <w:t xml:space="preserve">0.70</w:t>
            </w:r>
          </w:p>
        </w:tc>
      </w:tr>
      <w:tr>
        <w:tc>
          <w:p>
            <w:pPr>
              <w:pStyle w:val="Compact"/>
              <w:jc w:val="left"/>
            </w:pPr>
            <w:r>
              <w:t xml:space="preserve">Zn</w:t>
            </w:r>
          </w:p>
        </w:tc>
        <w:tc>
          <w:p>
            <w:pPr>
              <w:pStyle w:val="Compact"/>
              <w:jc w:val="right"/>
            </w:pPr>
            <w:r>
              <w:t xml:space="preserve">0.95</w:t>
            </w:r>
          </w:p>
        </w:tc>
        <w:tc>
          <w:p>
            <w:pPr>
              <w:pStyle w:val="Compact"/>
              <w:jc w:val="right"/>
            </w:pPr>
            <w:r>
              <w:t xml:space="preserve">0.91</w:t>
            </w:r>
          </w:p>
        </w:tc>
        <w:tc>
          <w:p>
            <w:pPr>
              <w:pStyle w:val="Compact"/>
              <w:jc w:val="right"/>
            </w:pPr>
            <w:r>
              <w:t xml:space="preserve">0.92</w:t>
            </w:r>
          </w:p>
        </w:tc>
        <w:tc>
          <w:p>
            <w:pPr>
              <w:pStyle w:val="Compact"/>
              <w:jc w:val="right"/>
            </w:pPr>
            <w:r>
              <w:t xml:space="preserve">0.93</w:t>
            </w:r>
          </w:p>
        </w:tc>
        <w:tc>
          <w:p>
            <w:pPr>
              <w:pStyle w:val="Compact"/>
              <w:jc w:val="right"/>
            </w:pPr>
            <w:r>
              <w:t xml:space="preserve">0.96</w:t>
            </w:r>
          </w:p>
        </w:tc>
        <w:tc>
          <w:p>
            <w:pPr>
              <w:pStyle w:val="Compact"/>
              <w:jc w:val="right"/>
            </w:pPr>
            <w:r>
              <w:t xml:space="preserve">0.25</w:t>
            </w:r>
          </w:p>
        </w:tc>
        <w:tc>
          <w:p>
            <w:pPr>
              <w:pStyle w:val="Compact"/>
              <w:jc w:val="right"/>
            </w:pPr>
            <w:r>
              <w:t xml:space="preserve">0.85</w:t>
            </w:r>
          </w:p>
        </w:tc>
        <w:tc>
          <w:p>
            <w:pPr>
              <w:pStyle w:val="Compact"/>
              <w:jc w:val="right"/>
            </w:pPr>
            <w:r>
              <w:t xml:space="preserve">0.70</w:t>
            </w:r>
          </w:p>
        </w:tc>
        <w:tc>
          <w:p>
            <w:pPr>
              <w:pStyle w:val="Compact"/>
              <w:jc w:val="right"/>
            </w:pPr>
            <w:r>
              <w:t xml:space="preserve">1.00</w:t>
            </w:r>
          </w:p>
        </w:tc>
      </w:tr>
    </w:tbl>
    <w:p>
      <w:pPr>
        <w:pStyle w:val="BodyText"/>
      </w:pPr>
      <w:r>
        <w:t xml:space="preserve">Table 4: Correlation matrix of elements analysed by ICP-AES</w:t>
      </w:r>
    </w:p>
    <w:p>
      <w:pPr>
        <w:pStyle w:val="BodyText"/>
      </w:pPr>
      <w:r>
        <w:drawing>
          <wp:inline>
            <wp:extent cx="4610100" cy="3695700"/>
            <wp:effectExtent b="0" l="0" r="0" t="0"/>
            <wp:docPr descr="" id="1" name="Picture"/>
            <a:graphic>
              <a:graphicData uri="http://schemas.openxmlformats.org/drawingml/2006/picture">
                <pic:pic>
                  <pic:nvPicPr>
                    <pic:cNvPr descr="../figures/denro_elements-1.png" id="0" name="Picture"/>
                    <pic:cNvPicPr>
                      <a:picLocks noChangeArrowheads="1" noChangeAspect="1"/>
                    </pic:cNvPicPr>
                  </pic:nvPicPr>
                  <pic:blipFill>
                    <a:blip r:embed="rId42"/>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7: Dendrogram of samples based on ICP-AES results</w:t>
      </w:r>
    </w:p>
    <w:p>
      <w:pPr>
        <w:pStyle w:val="BodyText"/>
      </w:pPr>
      <w:r>
        <w:t xml:space="preserve">Results from ICP-AES analyses are presented in Table 3,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and Woods and Glaser, 2004). The majority of these elements are strongly positively correlated (Table 4), and there are no significant negative correlations. These relationships suggest a single source for the sediments throughout the entire period of deposition. Cluster analysis of the contexts using the elemental data suggests low-level groupings resulting from minor variation (Figure 7). The cluster containing B1, A4, A7U and A7L is notable because they are relatively enriched with Ca and Mg, but this is not correlated with carbonates measured by loss on ignition. Overall, the element distributions suggest low variation over time, and homogeneity in the composition of the deposit with a single source of sediment.</w:t>
      </w:r>
    </w:p>
    <w:p>
      <w:pPr>
        <w:pStyle w:val="Heading3"/>
      </w:pPr>
      <w:bookmarkStart w:id="43" w:name="archaeology"/>
      <w:bookmarkEnd w:id="43"/>
      <w:r>
        <w:t xml:space="preserve">Archaeology</w:t>
      </w:r>
    </w:p>
    <w:p>
      <w:pPr>
        <w:pStyle w:val="Figure"/>
      </w:pPr>
      <w:r>
        <w:drawing>
          <wp:inline>
            <wp:extent cx="5943600" cy="5222289"/>
            <wp:effectExtent b="0" l="0" r="0" t="0"/>
            <wp:docPr descr=""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4"/>
                    <a:stretch>
                      <a:fillRect/>
                    </a:stretch>
                  </pic:blipFill>
                  <pic:spPr bwMode="auto">
                    <a:xfrm>
                      <a:off x="0" y="0"/>
                      <a:ext cx="5943600" cy="5222289"/>
                    </a:xfrm>
                    <a:prstGeom prst="rect">
                      <a:avLst/>
                    </a:prstGeom>
                    <a:noFill/>
                    <a:ln w="9525">
                      <a:noFill/>
                      <a:headEnd/>
                      <a:tailEnd/>
                    </a:ln>
                  </pic:spPr>
                </pic:pic>
              </a:graphicData>
            </a:graphic>
          </wp:inline>
        </w:drawing>
      </w:r>
    </w:p>
    <w:p>
      <w:pPr>
        <w:pStyle w:val="FirstParagraph"/>
      </w:pPr>
      <w:r>
        <w:t xml:space="preserve">Figure 8: Examples of ceramics, ground and flaked stone artefacts from Khao Toh Chong. a) chert flake, b) quartzite flake, c) quartzite polished adze, d) chert flake, e) quartzite polished adze, f &amp; g) ceramic sherd with incised and infilled decoration, h) cord-marked ceramic</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righ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righ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NA</w:t>
            </w:r>
          </w:p>
        </w:tc>
      </w:tr>
      <w:tr>
        <w:tc>
          <w:p>
            <w:pPr>
              <w:pStyle w:val="Compact"/>
              <w:jc w:val="righ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righ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righ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right"/>
            </w:pPr>
            <w:r>
              <w:t xml:space="preserve">7</w:t>
            </w:r>
          </w:p>
        </w:tc>
        <w:tc>
          <w:p>
            <w:pPr>
              <w:pStyle w:val="Compact"/>
              <w:jc w:val="right"/>
            </w:pPr>
            <w:r>
              <w:t xml:space="preserve">10</w:t>
            </w:r>
          </w:p>
        </w:tc>
        <w:tc>
          <w:p>
            <w:pPr>
              <w:pStyle w:val="Compact"/>
              <w:jc w:val="right"/>
            </w:pPr>
            <w:r>
              <w:t xml:space="preserve">64.1</w:t>
            </w:r>
          </w:p>
        </w:tc>
        <w:tc>
          <w:p>
            <w:pPr>
              <w:pStyle w:val="Compact"/>
              <w:jc w:val="right"/>
            </w:pPr>
            <w:r>
              <w:t xml:space="preserve">26</w:t>
            </w:r>
          </w:p>
        </w:tc>
        <w:tc>
          <w:p>
            <w:pPr>
              <w:pStyle w:val="Compact"/>
              <w:jc w:val="right"/>
            </w:pPr>
            <w:r>
              <w:t xml:space="preserve">80.3</w:t>
            </w:r>
          </w:p>
        </w:tc>
      </w:tr>
      <w:tr>
        <w:tc>
          <w:p>
            <w:pPr>
              <w:pStyle w:val="Compact"/>
              <w:jc w:val="righ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righ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bl>
    <w:p>
      <w:pPr>
        <w:pStyle w:val="BodyText"/>
      </w:pPr>
      <w:r>
        <w:t xml:space="preserve">Table 5: Summary of ceramics and stone artefacts recovered from Khao Toh Chong.</w:t>
      </w:r>
    </w:p>
    <w:p>
      <w:pPr>
        <w:pStyle w:val="BodyText"/>
      </w:pPr>
      <w:r>
        <w:drawing>
          <wp:inline>
            <wp:extent cx="4610100" cy="3695700"/>
            <wp:effectExtent b="0" l="0" r="0" t="0"/>
            <wp:docPr descr="" id="1" name="Picture"/>
            <a:graphic>
              <a:graphicData uri="http://schemas.openxmlformats.org/drawingml/2006/picture">
                <pic:pic>
                  <pic:nvPicPr>
                    <pic:cNvPr descr="../figures/artefacts_plot-1.png" id="0" name="Picture"/>
                    <pic:cNvPicPr>
                      <a:picLocks noChangeArrowheads="1" noChangeAspect="1"/>
                    </pic:cNvPicPr>
                  </pic:nvPicPr>
                  <pic:blipFill>
                    <a:blip r:embed="rId45"/>
                    <a:stretch>
                      <a:fillRect/>
                    </a:stretch>
                  </pic:blipFill>
                  <pic:spPr bwMode="auto">
                    <a:xfrm>
                      <a:off x="0" y="0"/>
                      <a:ext cx="4610100" cy="3695700"/>
                    </a:xfrm>
                    <a:prstGeom prst="rect">
                      <a:avLst/>
                    </a:prstGeom>
                    <a:noFill/>
                    <a:ln w="9525">
                      <a:noFill/>
                      <a:headEnd/>
                      <a:tailEnd/>
                    </a:ln>
                  </pic:spPr>
                </pic:pic>
              </a:graphicData>
            </a:graphic>
          </wp:inline>
        </w:drawing>
      </w:r>
    </w:p>
    <w:p>
      <w:pPr>
        <w:pStyle w:val="BodyText"/>
      </w:pPr>
      <w:r>
        <w:t xml:space="preserve">Figure 9: Distribution of ceramics and stone artefacts over time at Khao Toh Chong. Ages older than 13,000 cal BP have been extrapolated using the regression function described above.</w:t>
      </w:r>
    </w:p>
    <w:p>
      <w:pPr>
        <w:pStyle w:val="BodyText"/>
      </w:pPr>
      <w:r>
        <w:t xml:space="preserve">The archaeological materials consist mostly of small broken pieces of ceramic and flaked stone artefacts (Table 5, Figure 8, Figure 9). Two complete polished adzes were found in the upper layers, and several flakes with traces of abrasion on the platforms were also found, indicating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intrusions resulting from the activity of treeroots and termites. Disturbance is not a significant factor at KTC. However, episodes of seasonal wetting and drying may have contributed to small amounts of vertical displacement of the heavier ceramic sherds. We know that these wetting and drying episodes occurred due to the lack of preservation for fossil pollen. The mineralogical and sediment particle size data also support this interpretation. Radiocarbon dating of residues on ceramics at Spirit Cave obtained much younger dates (c. 3 k BP) than the stratigraphically associated charcoal samples (c. 7.6 k BP) (Lampert et al., 2003).This shows that there is probably some mixing in the stratigraphic layers at Spirit Cave. Comparatively, the KTC ceramics may have also shifted vertically over time due to the episodes of regional increases in precipitation from either the water table or seasonal monsoonal storms. We expect that future work on thermoluminescence dating of KTC ceramics may show a similar situation to that of Spirit Cave.</w:t>
      </w:r>
    </w:p>
    <w:p>
      <w:pPr>
        <w:pStyle w:val="BodyText"/>
      </w:pPr>
      <w:r>
        <w:t xml:space="preserve">The archaeological sequence at KTC shows signs of change over time, similar to the geoarchaeological sequence described above, indicating that any distubrance that might have occured has not been so extensive as to completely erase time-ordering of artefacts in the deposit. The stone artefact technology changes from to large flaked cores and flakes made from coarse-grain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Heading3"/>
      </w:pPr>
      <w:bookmarkStart w:id="46" w:name="faunal-assemblage"/>
      <w:bookmarkEnd w:id="46"/>
      <w:r>
        <w:t xml:space="preserve">Faunal assemblage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 subclass indet.</w:t>
            </w:r>
          </w:p>
        </w:tc>
        <w:tc>
          <w:p>
            <w:pPr>
              <w:pStyle w:val="Compact"/>
              <w:jc w:val="left"/>
            </w:pPr>
            <w:r>
              <w:t xml:space="preserve">0 (1)</w:t>
            </w:r>
          </w:p>
        </w:tc>
        <w:tc>
          <w:p>
            <w:pPr>
              <w:pStyle w:val="Compact"/>
              <w:jc w:val="left"/>
            </w:pPr>
            <w:r>
              <w:t xml:space="preserve">5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 fam. indet.</w:t>
            </w:r>
          </w:p>
        </w:tc>
        <w:tc>
          <w:p>
            <w:pPr>
              <w:pStyle w:val="Compact"/>
              <w:jc w:val="left"/>
            </w:pPr>
            <w:r>
              <w:t xml:space="preserve">0 (1)</w:t>
            </w:r>
          </w:p>
        </w:tc>
        <w:tc>
          <w:p>
            <w:pPr>
              <w:pStyle w:val="Compact"/>
              <w:jc w:val="left"/>
            </w:pPr>
            <w:r>
              <w:t xml:space="preserve">21 (1)</w:t>
            </w:r>
          </w:p>
        </w:tc>
        <w:tc>
          <w:p>
            <w:pPr>
              <w:pStyle w:val="Compact"/>
              <w:jc w:val="left"/>
            </w:pPr>
            <w:r>
              <w:t xml:space="preserve">36 (1)</w:t>
            </w:r>
          </w:p>
        </w:tc>
        <w:tc>
          <w:p>
            <w:pPr>
              <w:pStyle w:val="Compact"/>
              <w:jc w:val="left"/>
            </w:pPr>
            <w:r>
              <w:t xml:space="preserve">25 (1)</w:t>
            </w:r>
          </w:p>
        </w:tc>
        <w:tc>
          <w:p>
            <w:pPr>
              <w:pStyle w:val="Compact"/>
              <w:jc w:val="left"/>
            </w:pPr>
            <w:r>
              <w:t xml:space="preserve">10 (1)</w:t>
            </w:r>
          </w:p>
        </w:tc>
        <w:tc>
          <w:p>
            <w:pPr>
              <w:pStyle w:val="Compact"/>
              <w:jc w:val="left"/>
            </w:pPr>
            <w:r>
              <w:t xml:space="preserve">42 (2)</w:t>
            </w:r>
          </w:p>
        </w:tc>
        <w:tc>
          <w:p>
            <w:pPr>
              <w:pStyle w:val="Compact"/>
              <w:jc w:val="left"/>
            </w:pPr>
            <w:r>
              <w:t xml:space="preserve">26 (1)</w:t>
            </w:r>
          </w:p>
        </w:tc>
        <w:tc>
          <w:p>
            <w:pPr>
              <w:pStyle w:val="Compact"/>
              <w:jc w:val="left"/>
            </w:pPr>
            <w:r>
              <w:t xml:space="preserve">11 (1)</w:t>
            </w:r>
          </w:p>
        </w:tc>
        <w:tc>
          <w:p>
            <w:pPr>
              <w:pStyle w:val="Compact"/>
              <w:jc w:val="left"/>
            </w:pPr>
            <w:r>
              <w:t xml:space="preserve">44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0 (1)</w:t>
            </w:r>
          </w:p>
        </w:tc>
        <w:tc>
          <w:p>
            <w:pPr>
              <w:pStyle w:val="Compact"/>
              <w:jc w:val="left"/>
            </w:pPr>
            <w:r>
              <w:t xml:space="preserve">1 (0)</w:t>
            </w:r>
          </w:p>
        </w:tc>
        <w:tc>
          <w:p>
            <w:pPr>
              <w:pStyle w:val="Compact"/>
              <w:jc w:val="left"/>
            </w:pPr>
            <w:r>
              <w:t xml:space="preserve">1 (1)</w:t>
            </w:r>
          </w:p>
        </w:tc>
        <w:tc>
          <w:p>
            <w:pPr>
              <w:pStyle w:val="Compact"/>
              <w:jc w:val="left"/>
            </w:pPr>
            <w:r>
              <w:t xml:space="preserve">9 (1)</w:t>
            </w:r>
          </w:p>
        </w:tc>
        <w:tc>
          <w:p>
            <w:pPr>
              <w:pStyle w:val="Compact"/>
              <w:jc w:val="left"/>
            </w:pPr>
            <w:r>
              <w:t xml:space="preserve">6 (1)</w:t>
            </w:r>
          </w:p>
        </w:tc>
        <w:tc>
          <w:p>
            <w:pPr>
              <w:pStyle w:val="Compact"/>
              <w:jc w:val="left"/>
            </w:pPr>
            <w:r>
              <w:t xml:space="preserve">12 (1)</w:t>
            </w:r>
          </w:p>
        </w:tc>
        <w:tc>
          <w:p>
            <w:pPr>
              <w:pStyle w:val="Compact"/>
              <w:jc w:val="left"/>
            </w:pPr>
            <w:r>
              <w:t xml:space="preserve">4 (1)</w:t>
            </w:r>
          </w:p>
        </w:tc>
        <w:tc>
          <w:p>
            <w:pPr>
              <w:pStyle w:val="Compact"/>
              <w:jc w:val="left"/>
            </w:pPr>
            <w:r>
              <w:t xml:space="preserve">1 (1)</w:t>
            </w:r>
          </w:p>
        </w:tc>
        <w:tc>
          <w:p>
            <w:pPr>
              <w:pStyle w:val="Compact"/>
              <w:jc w:val="left"/>
            </w:pPr>
            <w:r>
              <w:t xml:space="preserve">5 (1)</w:t>
            </w:r>
          </w:p>
        </w:tc>
        <w:tc>
          <w:p>
            <w:pPr>
              <w:pStyle w:val="Compact"/>
              <w:jc w:val="left"/>
            </w:pPr>
            <w:r>
              <w:t xml:space="preserve">39 (8)</w:t>
            </w:r>
          </w:p>
        </w:tc>
      </w:tr>
      <w:tr>
        <w:tc>
          <w:p>
            <w:pPr>
              <w:pStyle w:val="Compact"/>
              <w:jc w:val="left"/>
            </w:pPr>
            <w:r>
              <w:t xml:space="preserve">Pythonidae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 fam. indet.</w:t>
            </w:r>
          </w:p>
        </w:tc>
        <w:tc>
          <w:p>
            <w:pPr>
              <w:pStyle w:val="Compact"/>
              <w:jc w:val="left"/>
            </w:pPr>
            <w:r>
              <w:t xml:space="preserve">0 (1)</w:t>
            </w:r>
          </w:p>
        </w:tc>
        <w:tc>
          <w:p>
            <w:pPr>
              <w:pStyle w:val="Compact"/>
              <w:jc w:val="left"/>
            </w:pPr>
            <w:r>
              <w:t xml:space="preserve">2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5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0 (1)</w:t>
            </w:r>
          </w:p>
        </w:tc>
        <w:tc>
          <w:p>
            <w:pPr>
              <w:pStyle w:val="Compact"/>
              <w:jc w:val="left"/>
            </w:pPr>
            <w:r>
              <w:t xml:space="preserve">3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2 (0)</w:t>
            </w:r>
          </w:p>
        </w:tc>
        <w:tc>
          <w:p>
            <w:pPr>
              <w:pStyle w:val="Compact"/>
              <w:jc w:val="left"/>
            </w:pPr>
            <w:r>
              <w:t xml:space="preserve">0 (0)</w:t>
            </w:r>
          </w:p>
        </w:tc>
        <w:tc>
          <w:p>
            <w:pPr>
              <w:pStyle w:val="Compact"/>
              <w:jc w:val="left"/>
            </w:pPr>
            <w:r>
              <w:t xml:space="preserve">2 (1)</w:t>
            </w:r>
          </w:p>
        </w:tc>
      </w:tr>
      <w:tr>
        <w:tc>
          <w:p>
            <w:pPr>
              <w:pStyle w:val="Compact"/>
              <w:jc w:val="left"/>
            </w:pPr>
            <w:r>
              <w:t xml:space="preserve">Rodentia fam.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1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 fam.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(1)</w:t>
            </w:r>
          </w:p>
        </w:tc>
        <w:tc>
          <w:p>
            <w:pPr>
              <w:pStyle w:val="Compact"/>
              <w:jc w:val="left"/>
            </w:pPr>
            <w:r>
              <w:t xml:space="preserve">1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3 (1)</w:t>
            </w:r>
          </w:p>
        </w:tc>
        <w:tc>
          <w:p>
            <w:pPr>
              <w:pStyle w:val="Compact"/>
              <w:jc w:val="left"/>
            </w:pPr>
            <w:r>
              <w:t xml:space="preserve">4 (2)</w:t>
            </w:r>
          </w:p>
        </w:tc>
      </w:tr>
      <w:tr>
        <w:tc>
          <w:p>
            <w:pPr>
              <w:pStyle w:val="Compact"/>
              <w:jc w:val="left"/>
            </w:pPr>
            <w:r>
              <w:t xml:space="preserve">Bovidae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0 (4)</w:t>
            </w:r>
          </w:p>
        </w:tc>
        <w:tc>
          <w:p>
            <w:pPr>
              <w:pStyle w:val="Compact"/>
              <w:jc w:val="left"/>
            </w:pPr>
            <w:r>
              <w:t xml:space="preserve">29 (1)</w:t>
            </w:r>
          </w:p>
        </w:tc>
        <w:tc>
          <w:p>
            <w:pPr>
              <w:pStyle w:val="Compact"/>
              <w:jc w:val="left"/>
            </w:pPr>
            <w:r>
              <w:t xml:space="preserve">44 (5)</w:t>
            </w:r>
          </w:p>
        </w:tc>
        <w:tc>
          <w:p>
            <w:pPr>
              <w:pStyle w:val="Compact"/>
              <w:jc w:val="left"/>
            </w:pPr>
            <w:r>
              <w:t xml:space="preserve">35 (2)</w:t>
            </w:r>
          </w:p>
        </w:tc>
        <w:tc>
          <w:p>
            <w:pPr>
              <w:pStyle w:val="Compact"/>
              <w:jc w:val="left"/>
            </w:pPr>
            <w:r>
              <w:t xml:space="preserve">16 (2)</w:t>
            </w:r>
          </w:p>
        </w:tc>
        <w:tc>
          <w:p>
            <w:pPr>
              <w:pStyle w:val="Compact"/>
              <w:jc w:val="left"/>
            </w:pPr>
            <w:r>
              <w:t xml:space="preserve">56 (6)</w:t>
            </w:r>
          </w:p>
        </w:tc>
        <w:tc>
          <w:p>
            <w:pPr>
              <w:pStyle w:val="Compact"/>
              <w:jc w:val="left"/>
            </w:pPr>
            <w:r>
              <w:t xml:space="preserve">44 (9)</w:t>
            </w:r>
          </w:p>
        </w:tc>
        <w:tc>
          <w:p>
            <w:pPr>
              <w:pStyle w:val="Compact"/>
              <w:jc w:val="left"/>
            </w:pPr>
            <w:r>
              <w:t xml:space="preserve">18 (4)</w:t>
            </w:r>
          </w:p>
        </w:tc>
        <w:tc>
          <w:p>
            <w:pPr>
              <w:pStyle w:val="Compact"/>
              <w:jc w:val="left"/>
            </w:pPr>
            <w:r>
              <w:t xml:space="preserve">61 (8)</w:t>
            </w:r>
          </w:p>
        </w:tc>
        <w:tc>
          <w:p>
            <w:pPr>
              <w:pStyle w:val="Compact"/>
              <w:jc w:val="left"/>
            </w:pPr>
            <w:r>
              <w:t xml:space="preserve">303 (41)</w:t>
            </w:r>
          </w:p>
        </w:tc>
      </w:tr>
    </w:tbl>
    <w:p>
      <w:pPr>
        <w:pStyle w:val="BodyText"/>
      </w:pPr>
      <w:r>
        <w:t xml:space="preserve">Table 6: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56 (0)</w:t>
            </w:r>
          </w:p>
        </w:tc>
        <w:tc>
          <w:p>
            <w:pPr>
              <w:pStyle w:val="Compact"/>
              <w:jc w:val="left"/>
            </w:pPr>
            <w:r>
              <w:t xml:space="preserve">72 (0)</w:t>
            </w:r>
          </w:p>
        </w:tc>
        <w:tc>
          <w:p>
            <w:pPr>
              <w:pStyle w:val="Compact"/>
              <w:jc w:val="left"/>
            </w:pPr>
            <w:r>
              <w:t xml:space="preserve">143 (0)</w:t>
            </w:r>
          </w:p>
        </w:tc>
        <w:tc>
          <w:p>
            <w:pPr>
              <w:pStyle w:val="Compact"/>
              <w:jc w:val="left"/>
            </w:pPr>
            <w:r>
              <w:t xml:space="preserve">372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 gen. indet.</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 (1)</w:t>
            </w:r>
          </w:p>
        </w:tc>
        <w:tc>
          <w:p>
            <w:pPr>
              <w:pStyle w:val="Compact"/>
              <w:jc w:val="left"/>
            </w:pPr>
            <w:r>
              <w:t xml:space="preserve">28 (28)</w:t>
            </w:r>
          </w:p>
        </w:tc>
        <w:tc>
          <w:p>
            <w:pPr>
              <w:pStyle w:val="Compact"/>
              <w:jc w:val="left"/>
            </w:pPr>
            <w:r>
              <w:t xml:space="preserve">5 (5)</w:t>
            </w:r>
          </w:p>
        </w:tc>
        <w:tc>
          <w:p>
            <w:pPr>
              <w:pStyle w:val="Compact"/>
              <w:jc w:val="left"/>
            </w:pPr>
            <w:r>
              <w:t xml:space="preserve">30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52 (52)</w:t>
            </w:r>
          </w:p>
        </w:tc>
        <w:tc>
          <w:p>
            <w:pPr>
              <w:pStyle w:val="Compact"/>
              <w:jc w:val="left"/>
            </w:pPr>
            <w:r>
              <w:t xml:space="preserve">82 (82)</w:t>
            </w:r>
          </w:p>
        </w:tc>
        <w:tc>
          <w:p>
            <w:pPr>
              <w:pStyle w:val="Compact"/>
              <w:jc w:val="left"/>
            </w:pPr>
            <w:r>
              <w:t xml:space="preserve">1584 (1584)</w:t>
            </w:r>
          </w:p>
        </w:tc>
        <w:tc>
          <w:p>
            <w:pPr>
              <w:pStyle w:val="Compact"/>
              <w:jc w:val="left"/>
            </w:pPr>
            <w:r>
              <w:t xml:space="preserve">2215 (2215)</w:t>
            </w:r>
          </w:p>
        </w:tc>
        <w:tc>
          <w:p>
            <w:pPr>
              <w:pStyle w:val="Compact"/>
              <w:jc w:val="left"/>
            </w:pPr>
            <w:r>
              <w:t xml:space="preserve">771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 gen. indet.</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4 (4)</w:t>
            </w:r>
          </w:p>
        </w:tc>
        <w:tc>
          <w:p>
            <w:pPr>
              <w:pStyle w:val="Compact"/>
              <w:jc w:val="left"/>
            </w:pPr>
            <w:r>
              <w:t xml:space="preserve">0 (0)</w:t>
            </w:r>
          </w:p>
        </w:tc>
        <w:tc>
          <w:p>
            <w:pPr>
              <w:pStyle w:val="Compact"/>
              <w:jc w:val="left"/>
            </w:pPr>
            <w:r>
              <w:t xml:space="preserve">12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2 (2)</w:t>
            </w:r>
          </w:p>
        </w:tc>
        <w:tc>
          <w:p>
            <w:pPr>
              <w:pStyle w:val="Compact"/>
              <w:jc w:val="left"/>
            </w:pPr>
            <w:r>
              <w:t xml:space="preserve">3 (3)</w:t>
            </w:r>
          </w:p>
        </w:tc>
        <w:tc>
          <w:p>
            <w:pPr>
              <w:pStyle w:val="Compact"/>
              <w:jc w:val="left"/>
            </w:pPr>
            <w:r>
              <w:t xml:space="preserve">5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2 (2)</w:t>
            </w:r>
          </w:p>
        </w:tc>
        <w:tc>
          <w:p>
            <w:pPr>
              <w:pStyle w:val="Compact"/>
              <w:jc w:val="left"/>
            </w:pPr>
            <w:r>
              <w:t xml:space="preserve">10 (10)</w:t>
            </w:r>
          </w:p>
        </w:tc>
        <w:tc>
          <w:p>
            <w:pPr>
              <w:pStyle w:val="Compact"/>
              <w:jc w:val="left"/>
            </w:pPr>
            <w:r>
              <w:t xml:space="preserve">9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c>
          <w:p>
            <w:pPr>
              <w:pStyle w:val="Compact"/>
              <w:jc w:val="left"/>
            </w:pPr>
            <w:r>
              <w:t xml:space="preserve">3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2 (2)</w:t>
            </w:r>
          </w:p>
        </w:tc>
        <w:tc>
          <w:p>
            <w:pPr>
              <w:pStyle w:val="Compact"/>
              <w:jc w:val="left"/>
            </w:pPr>
            <w:r>
              <w:t xml:space="preserve">3 (3)</w:t>
            </w:r>
          </w:p>
        </w:tc>
        <w:tc>
          <w:p>
            <w:pPr>
              <w:pStyle w:val="Compact"/>
              <w:jc w:val="left"/>
            </w:pPr>
            <w:r>
              <w:t xml:space="preserve">4 (4)</w:t>
            </w:r>
          </w:p>
        </w:tc>
        <w:tc>
          <w:p>
            <w:pPr>
              <w:pStyle w:val="Compact"/>
              <w:jc w:val="left"/>
            </w:pPr>
            <w:r>
              <w:t xml:space="preserve">2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 gen. indet.</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67 (58)</w:t>
            </w:r>
          </w:p>
        </w:tc>
        <w:tc>
          <w:p>
            <w:pPr>
              <w:pStyle w:val="Compact"/>
              <w:jc w:val="left"/>
            </w:pPr>
            <w:r>
              <w:t xml:space="preserve">167 (110)</w:t>
            </w:r>
          </w:p>
        </w:tc>
        <w:tc>
          <w:p>
            <w:pPr>
              <w:pStyle w:val="Compact"/>
              <w:jc w:val="left"/>
            </w:pPr>
            <w:r>
              <w:t xml:space="preserve">1720 (1647)</w:t>
            </w:r>
          </w:p>
        </w:tc>
        <w:tc>
          <w:p>
            <w:pPr>
              <w:pStyle w:val="Compact"/>
              <w:jc w:val="left"/>
            </w:pPr>
            <w:r>
              <w:t xml:space="preserve">2377 (2234)</w:t>
            </w:r>
          </w:p>
        </w:tc>
        <w:tc>
          <w:p>
            <w:pPr>
              <w:pStyle w:val="Compact"/>
              <w:jc w:val="left"/>
            </w:pPr>
            <w:r>
              <w:t xml:space="preserve">1187 (815)</w:t>
            </w:r>
          </w:p>
        </w:tc>
        <w:tc>
          <w:p>
            <w:pPr>
              <w:pStyle w:val="Compact"/>
              <w:jc w:val="left"/>
            </w:pPr>
            <w:r>
              <w:t xml:space="preserve">5686 (5027)</w:t>
            </w:r>
          </w:p>
        </w:tc>
      </w:tr>
    </w:tbl>
    <w:p>
      <w:pPr>
        <w:pStyle w:val="BodyText"/>
      </w:pPr>
      <w:r>
        <w:t xml:space="preserve">Table 7: NISP of mollusk remains recovered from Khao Toh Chong (MNI values in parentheses).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NaN</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BodyText"/>
      </w:pPr>
      <w:r>
        <w:t xml:space="preserve">Table 8: Ecological indices of diversity and evenness for the faunal assemblage recovered from Khao Toh Chong. Pielou's index is also known as the Shannon index of evenness</w:t>
      </w:r>
    </w:p>
    <w:p>
      <w:pPr>
        <w:pStyle w:val="BodyText"/>
      </w:pPr>
      <w:r>
        <w:t xml:space="preserve">Mammalian abundance and distribution at the rockshelter throughout the late-Pleistocene and Holocene describes a diverse array of taxa in the deposits (Table 6).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late-Pleistocene and early Holocene period suggests that a more open and drier forest habitat surrounded the rockshelter during that time (Francis, 2008).</w:t>
      </w:r>
    </w:p>
    <w:p>
      <w:pPr>
        <w:pStyle w:val="BodyText"/>
      </w:pPr>
      <w:r>
        <w:t xml:space="preserve">The values for species richness per context, of the mammalian, reptilian, and piscean taxa appears to be driven primarily by the presence or absence of carapace elements belonging to the Order Testudines, likely representing species of the turtle Family Trionychidae and Emydidae,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Testundines elements. Overall the presence of vertebrate remains, in comparison with invertebrate remains, was low at the rockshelter. Artiodactyl remains are notably restricted to the terminal Pleistocene and early Holocene deposits.</w:t>
      </w:r>
    </w:p>
    <w:p>
      <w:pPr>
        <w:pStyle w:val="BodyText"/>
      </w:pPr>
      <w:r>
        <w:t xml:space="preserve">Of the identified mollusk remains, nine taxa were identified to the species level while an additional fourteen were identified to a broader degree of taxonomy (Table 7). Mollusk species richness varies between 0-11 species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late-Pleistocene and early Holocene. When combined with shells from the Family Amblemidae and Cyclophoridae, these three taxa account for 97% of the identified mollusk taxa at KTC.</w:t>
      </w:r>
    </w:p>
    <w:p>
      <w:pPr>
        <w:pStyle w:val="BodyText"/>
      </w:pPr>
      <w:r>
        <w:t xml:space="preserve">For all identified fauna, MNI and log NISP values for each context are strongly correlated (r = 0.744, df = 7, p = 0.021), indicating that the rate of fragmentation is constant (Jones, 2013; Lyman, 2008). Ecological indices of taxonomic diversity and evenness vary over time, suggesting complex variations in forager behaviour (Table 8).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7" w:name="discussion"/>
      <w:bookmarkEnd w:id="47"/>
      <w:r>
        <w:t xml:space="preserve">Discussion</w:t>
      </w:r>
    </w:p>
    <w:p>
      <w:pPr>
        <w:pStyle w:val="Heading3"/>
      </w:pPr>
      <w:bookmarkStart w:id="48" w:name="geoarchaeology-1"/>
      <w:bookmarkEnd w:id="48"/>
      <w:r>
        <w:t xml:space="preserve">Geoarchaeology</w:t>
      </w:r>
    </w:p>
    <w:p>
      <w:pPr>
        <w:pStyle w:val="FirstParagraph"/>
      </w:pPr>
      <w:r>
        <w:t xml:space="preserve">The general picture indicated by the geoarchaeoloical data is one of subtle, uncoordinated changes in the variables we measured. This could be interpreted as indicative of either relatively constant conditions of deposition, or resulting from a high degree of bioturbation that has averaged out any major changes in the deposit. The sediment texture suggests a mixture of aeolian, colluvial and fluvial inputs, typical of cave and rockshelter deposits in the tropics (Westaway et al., 2009). The composition of the sediments varies little over time, as indicated by the measurements of organic matter, carbonates and pH in the bulk samples, and the ICP-AES data.</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Substantial changes in surface geochemistry are unlikely, due to the uncoordinated changes in magnetic susceptibility, which, if coordinated, might suggest episodes of soil formation on the landscape surrounding the site. The Carbon isotope values indicate a consistent dominance of C3 plants in the site environment through time, similar to the present-day environment. The small monotonic decrease in Carbon isotope values towards the present suggests that the deposit has some stratigraphic integrity, despite the anomalously low finds of ceramics. Thus, we can credibly interpret the geoarchaeological data as indicating generally constant conditions over time, rather than resulting from massive large scale bioturbation.</w:t>
      </w:r>
    </w:p>
    <w:p>
      <w:pPr>
        <w:pStyle w:val="Heading3"/>
      </w:pPr>
      <w:bookmarkStart w:id="49" w:name="faunal-assemblage-1"/>
      <w:bookmarkEnd w:id="49"/>
      <w:r>
        <w:t xml:space="preserve">Faunal assemblage</w:t>
      </w:r>
    </w:p>
    <w:p>
      <w:pPr>
        <w:pStyle w:val="FirstParagraph"/>
      </w:pPr>
      <w:r>
        <w:t xml:space="preserve">KTC rockshelter has a relatively undisturbed record of mammalian, reptilian, piscean, and molluscan assemblages present in relatively intact deposits. The invertebrate record at the rockshelter provides a valuable description of molluscan taxa and subsistence patterns during the 'missing millennia'.</w:t>
      </w:r>
      <w:r>
        <w:t xml:space="preserve"> </w:t>
      </w:r>
      <w:r>
        <w:rPr>
          <w:i/>
        </w:rPr>
        <w:t xml:space="preserve">Neoradina prasongi</w:t>
      </w:r>
      <w:r>
        <w:t xml:space="preserve"> </w:t>
      </w:r>
      <w:r>
        <w:t xml:space="preserve">molluscs were abundant during the late-Pleistocene, but much less frequent during the mid and late Holocene.</w:t>
      </w:r>
    </w:p>
    <w:p>
      <w:pPr>
        <w:pStyle w:val="BodyText"/>
      </w:pPr>
      <w:r>
        <w:rPr>
          <w:i/>
        </w:rPr>
        <w:t xml:space="preserve">Neoradina prasongi</w:t>
      </w:r>
      <w:r>
        <w:t xml:space="preserve"> </w:t>
      </w:r>
      <w:r>
        <w:t xml:space="preserve">molluscs live in fresh-water stream habitats (Brandt, 1974) . At KTC,</w:t>
      </w:r>
      <w:r>
        <w:t xml:space="preserve"> </w:t>
      </w:r>
      <w:r>
        <w:rPr>
          <w:i/>
        </w:rPr>
        <w:t xml:space="preserve">N. prasongi</w:t>
      </w:r>
      <w:r>
        <w:t xml:space="preserve"> </w:t>
      </w:r>
      <w:r>
        <w:t xml:space="preserve">shells constitute the bulk of molluscan food waste in the archaeological assemblage. The period of peak discard rates for</w:t>
      </w:r>
      <w:r>
        <w:t xml:space="preserve"> </w:t>
      </w:r>
      <w:r>
        <w:rPr>
          <w:i/>
        </w:rPr>
        <w:t xml:space="preserve">N. prasongi</w:t>
      </w:r>
      <w:r>
        <w:t xml:space="preserve"> </w:t>
      </w:r>
      <w:r>
        <w:t xml:space="preserve">is c. 9 k cal BP, suggesting that the most intensive use of the rockshelter for subsistence purposes occurred during this time. Utilization of this mollusk also indicates that major freshwater stream habitats were near the rockshelter during the late-Pleistocene and early Holocene. Following their analysis of the faunal material from Lang Rongrien, Mudar and Anderson (2007) suggested that during the late-Pleistocene a drier and more open environment occurred in the Krabi region, this period was also characterized by increased monsoon seasonality. During the peak mollusk discard period of the late-Pleistocene at KTC, a drier and more open environment would have allowed forager groups to pursue large artiodactyls in the grassland-savanna habitat, alongside</w:t>
      </w:r>
      <w:r>
        <w:t xml:space="preserve"> </w:t>
      </w:r>
      <w:r>
        <w:rPr>
          <w:i/>
        </w:rPr>
        <w:t xml:space="preserve">N. prasongi</w:t>
      </w:r>
      <w:r>
        <w:t xml:space="preserve"> </w:t>
      </w:r>
      <w:r>
        <w:t xml:space="preserve">in seasonally abundant fresh-water stream resources. Occurrence of abundant turtle or tortoise remains at KTC also suggests that fresh-water stream habitats were found near the site throughout the late-Pleistocene and early-Holocene.</w:t>
      </w:r>
    </w:p>
    <w:p>
      <w:pPr>
        <w:pStyle w:val="BodyText"/>
      </w:pPr>
      <w:r>
        <w:t xml:space="preserve">At Lang Rongrien, the abundant Testudines elements through time provided evidence of Southeast Asian turtle and tortoise exploitation occurred at the rockshelter (Mudar and Anderson, 2007). This record also appears at KTC with the presence of abundant Testudines specimens throughout the late-Pleistocene and Holocene deposits. However, this pattern has not been found elsewhere near KTC in southern peninsular Thailand. For example, both Moh Khiew Cave and Sakai Cave had very low abundances of Testudines remains during the late-Pleistocene and Holocene (Pookajorn, 1996). Generally, Testudines elements were only identified by presence or absence at these sites. Since Lang Rongrien and KTC both provide evidence of turtle and tortoise exploitation, this represents a supports the recognition of fresh-water stream foraging pattern. It also suggests that fresh-water stream habitats were abundant during the late-Pleistocene and early Holocene, in the Krabi region. Furthermore, previously identified shifts in monsoon seasonality, and intensity, during this time suggests that precipitation may have increased during the early Holocene in Peninsular Thailand (Marwick and Gagan, 2011), matching the faunal record at KTC.</w:t>
      </w:r>
    </w:p>
    <w:p>
      <w:pPr>
        <w:pStyle w:val="BodyText"/>
      </w:pPr>
      <w:r>
        <w:t xml:space="preserve">The declining exploitation of freshwater</w:t>
      </w:r>
      <w:r>
        <w:t xml:space="preserve"> </w:t>
      </w:r>
      <w:r>
        <w:rPr>
          <w:i/>
        </w:rPr>
        <w:t xml:space="preserve">N. prasongi</w:t>
      </w:r>
      <w:r>
        <w:t xml:space="preserve"> </w:t>
      </w:r>
      <w:r>
        <w:t xml:space="preserve">molluscs into the Holocene, reaching a minimum at 6000 cal BP may reflect the shift from freshwater to mangrove swamp habitats in this region, or a shift in the foraging dynamics of prehistoric groups (Shoocongdej, 2000; 2010). The timing of the lowest amount of shells in the deposit coincides with the peak sea levels summarised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middle-Holocene, may be associated with the emergence of rice agriculture and farming in mainland Southeast appears (Castillo, 2011; Fuller, 2011; White et al., 2004). Thus, declines in mollusk utilization may reflect a pattern of rising sea-levels. The mechanism here may be a reduction in the availability of suitable mollusk procurement locations, favoring the adoption of agriculture during the mid and late-Holocene in Peninsular Thailand as a response to these sea level changes. Shell exploitation picks up again at KTC at c. 3.0 k cal BP, coincident with the regressive phase at 3.7 to 2.7 k BP described by Sinsakul (1992). This is also when site use changes, with more frequent visits suggested by peaks in the discard of archaeological materials.</w:t>
      </w:r>
    </w:p>
    <w:p>
      <w:pPr>
        <w:pStyle w:val="BodyText"/>
      </w:pPr>
      <w:r>
        <w:t xml:space="preserve">Our data from KTC not only suggests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occurs, not during the terminal Pleistocene (Bulbeck, 2003). The earlier peak in the molluscan assemblage at KTC suggests that a different pattern of shellfish exploitation occurred here, one that we link to local environmental conditions controlled by sea level changes. Further afield, we find that KTC is very similar to Bubog I and II in the Philippines (Pawlik et al. 2014), where there is a transition from exploiting mangrove invertebrate species (due to lowered sea-levels and increased mangrove habitats) during the late Pleistocene to an exploitation of brackish and shallow marine invertebrate species during the early Holocene, when sea levels rise and inundate the mangroves. By the mid-Holocene the invertebrates are almost entirely marine species which suggests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evidence of palynological signatures of disrupted forest successions was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the KTC's occupants, their pursuit of alternative resources initiated a distinct trajectory of economic change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0" w:name="conclusion"/>
      <w:bookmarkEnd w:id="50"/>
      <w:r>
        <w:t xml:space="preserve">Conclusion</w:t>
      </w:r>
    </w:p>
    <w:p>
      <w:pPr>
        <w:pStyle w:val="FirstParagraph"/>
      </w:pPr>
      <w:r>
        <w:t xml:space="preserve">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uncertaintly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The foragers occupying KTC practiced a complex strategy of molluscan resource procurement and exploitation. The most striking find is the correlation between the abundance of shellfish and past sea levels. Low sea levels at the early Holocene correspond to a peak in shellfish discard, followed by a decline in shellfish and lithic discard at c. 6 k cal. BP, at the same time as the peak Holocene sea levels. There is another small peak in shellfish at c. 3 k cal. BP during a regressive phase, this time accompanied by relatively large amounts of ceramics and lithics. During the mid-Holocene,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 80; Maloney 1999). During this time, more arboreal taxa are exploited and economic plants begin to appear archaeologically.</w:t>
      </w:r>
    </w:p>
    <w:p>
      <w:pPr>
        <w:pStyle w:val="BodyText"/>
      </w:pPr>
      <w:r>
        <w:t xml:space="preserve">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see a unique pattern of shellfish exploitation at KTC that is related to the local sea level changes. This relationship highlights the importance of local contingencies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potentially also sites such as Ban Non Wat. Future work on direct dating of the KTC ceramics will help to resolve questions the timing of their appearance here, and their relationship to shifts in subsistence behaviours.</w:t>
      </w:r>
    </w:p>
    <w:p>
      <w:pPr>
        <w:pStyle w:val="Heading2"/>
      </w:pPr>
      <w:bookmarkStart w:id="51" w:name="acknowledgments"/>
      <w:bookmarkEnd w:id="51"/>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assistence with the geoarchaeological laboratory analysis. Funding was provided by an ACLS/Luce Foundation grant to Peter Lape (University of Washington) and an International Provost grant to BM from the University of Washington Office of the Provost.</w:t>
      </w:r>
    </w:p>
    <w:p>
      <w:pPr>
        <w:pStyle w:val="Heading2"/>
      </w:pPr>
      <w:bookmarkStart w:id="52" w:name="references"/>
      <w:bookmarkEnd w:id="52"/>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 Tbailand.</w:t>
      </w:r>
      <w:r>
        <w:t xml:space="preserve"> </w:t>
      </w:r>
      <w:r>
        <w:rPr>
          <w:i/>
        </w:rPr>
        <w:t xml:space="preserve">Arch. Molluskenkunde.</w:t>
      </w:r>
      <w:r>
        <w:t xml:space="preserve"> </w:t>
      </w:r>
      <w:r>
        <w:t xml:space="preserve">105, 1-423.</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(1972).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Jones, E. (2013). Subsistence Change Among the 17th-Century Diné? A Reanalysis of the Faunas from the Fruitland Data Recovery Project.</w:t>
      </w:r>
      <w:r>
        <w:t xml:space="preserve"> </w:t>
      </w:r>
      <w:r>
        <w:rPr>
          <w:i/>
        </w:rPr>
        <w:t xml:space="preserve">Journal of Ethnobiology</w:t>
      </w:r>
      <w:r>
        <w:t xml:space="preserve"> </w:t>
      </w:r>
      <w:r>
        <w:t xml:space="preserve">33(1):148-166.</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Knudson, K.J. , L. Frink, B.W. Hoffman, T.D. Price (2004). 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3">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Schweizer, M., Fear, J., &amp; Cadisch, G. (J1999).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 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4">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Unpublished MA thesis, Department of Anthropology, San José State University</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2016-07-27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2013-05-03 CRAN (R 3.2.3)                     </w:t>
      </w:r>
      <w:r>
        <w:br w:type="textWrapping"/>
      </w:r>
      <w:r>
        <w:rPr>
          <w:rStyle w:val="VerbatimChar"/>
        </w:rPr>
        <w:t xml:space="preserve">##  analogue     * 0.17-0     2016-02-28 CRAN (R 3.2.5)                     </w:t>
      </w:r>
      <w:r>
        <w:br w:type="textWrapping"/>
      </w:r>
      <w:r>
        <w:rPr>
          <w:rStyle w:val="VerbatimChar"/>
        </w:rPr>
        <w:t xml:space="preserve">##  assertthat     0.1        2013-12-06 CRAN (R 3.2.2)                     </w:t>
      </w:r>
      <w:r>
        <w:br w:type="textWrapping"/>
      </w:r>
      <w:r>
        <w:rPr>
          <w:rStyle w:val="VerbatimChar"/>
        </w:rPr>
        <w:t xml:space="preserve">##  Bchron       * 4.2.2      2016-06-21 CRAN (R 3.3.1)                     </w:t>
      </w:r>
      <w:r>
        <w:br w:type="textWrapping"/>
      </w:r>
      <w:r>
        <w:rPr>
          <w:rStyle w:val="VerbatimChar"/>
        </w:rPr>
        <w:t xml:space="preserve">##  brglm          0.5-9      2013-11-08 CRAN (R 3.2.3)                     </w:t>
      </w:r>
      <w:r>
        <w:br w:type="textWrapping"/>
      </w:r>
      <w:r>
        <w:rPr>
          <w:rStyle w:val="VerbatimChar"/>
        </w:rPr>
        <w:t xml:space="preserve">##  captioner    * 2.2.3.9000 2016-05-23 Github (adletaw/captioner@bf3bf6d) </w:t>
      </w:r>
      <w:r>
        <w:br w:type="textWrapping"/>
      </w:r>
      <w:r>
        <w:rPr>
          <w:rStyle w:val="VerbatimChar"/>
        </w:rPr>
        <w:t xml:space="preserve">##  chron          2.3-47     2015-06-24 CRAN (R 3.2.2)                     </w:t>
      </w:r>
      <w:r>
        <w:br w:type="textWrapping"/>
      </w:r>
      <w:r>
        <w:rPr>
          <w:rStyle w:val="VerbatimChar"/>
        </w:rPr>
        <w:t xml:space="preserve">##  cluster        2.0.4      2016-04-18 CRAN (R 3.3.1)                     </w:t>
      </w:r>
      <w:r>
        <w:br w:type="textWrapping"/>
      </w:r>
      <w:r>
        <w:rPr>
          <w:rStyle w:val="VerbatimChar"/>
        </w:rPr>
        <w:t xml:space="preserve">##  coda           0.18-1     2015-10-16 CRAN (R 3.2.2)                     </w:t>
      </w:r>
      <w:r>
        <w:br w:type="textWrapping"/>
      </w:r>
      <w:r>
        <w:rPr>
          <w:rStyle w:val="VerbatimChar"/>
        </w:rPr>
        <w:t xml:space="preserve">##  codetools      0.2-14     2015-07-15 CRAN (R 3.3.1)                     </w:t>
      </w:r>
      <w:r>
        <w:br w:type="textWrapping"/>
      </w:r>
      <w:r>
        <w:rPr>
          <w:rStyle w:val="VerbatimChar"/>
        </w:rPr>
        <w:t xml:space="preserve">##  colorspace     1.2-6      2015-03-11 CRAN (R 3.2.2)                     </w:t>
      </w:r>
      <w:r>
        <w:br w:type="textWrapping"/>
      </w:r>
      <w:r>
        <w:rPr>
          <w:rStyle w:val="VerbatimChar"/>
        </w:rPr>
        <w:t xml:space="preserve">##  data.table     1.9.6      2015-09-19 CRAN (R 3.2.2)                     </w:t>
      </w:r>
      <w:r>
        <w:br w:type="textWrapping"/>
      </w:r>
      <w:r>
        <w:rPr>
          <w:rStyle w:val="VerbatimChar"/>
        </w:rPr>
        <w:t xml:space="preserve">##  DBI            0.4-1      2016-05-08 CRAN (R 3.3.0)                     </w:t>
      </w:r>
      <w:r>
        <w:br w:type="textWrapping"/>
      </w:r>
      <w:r>
        <w:rPr>
          <w:rStyle w:val="VerbatimChar"/>
        </w:rPr>
        <w:t xml:space="preserve">##  devtools       1.12.0     2016-06-24 CRAN (R 3.3.1)                     </w:t>
      </w:r>
      <w:r>
        <w:br w:type="textWrapping"/>
      </w:r>
      <w:r>
        <w:rPr>
          <w:rStyle w:val="VerbatimChar"/>
        </w:rPr>
        <w:t xml:space="preserve">##  digest         0.6.9      2016-01-08 CRAN (R 3.3.0)                     </w:t>
      </w:r>
      <w:r>
        <w:br w:type="textWrapping"/>
      </w:r>
      <w:r>
        <w:rPr>
          <w:rStyle w:val="VerbatimChar"/>
        </w:rPr>
        <w:t xml:space="preserve">##  dplyr        * 0.5.0.9000 2016-07-12 Github (hadley/dplyr@8b28b0b)      </w:t>
      </w:r>
      <w:r>
        <w:br w:type="textWrapping"/>
      </w:r>
      <w:r>
        <w:rPr>
          <w:rStyle w:val="VerbatimChar"/>
        </w:rPr>
        <w:t xml:space="preserve">##  ellipse        0.3-8      2013-04-13 CRAN (R 3.2.2)                     </w:t>
      </w:r>
      <w:r>
        <w:br w:type="textWrapping"/>
      </w:r>
      <w:r>
        <w:rPr>
          <w:rStyle w:val="VerbatimChar"/>
        </w:rPr>
        <w:t xml:space="preserve">##  evaluate       0.9        2016-04-29 CRAN (R 3.3.0)                     </w:t>
      </w:r>
      <w:r>
        <w:br w:type="textWrapping"/>
      </w:r>
      <w:r>
        <w:rPr>
          <w:rStyle w:val="VerbatimChar"/>
        </w:rPr>
        <w:t xml:space="preserve">##  foreign        0.8-66     2015-08-19 CRAN (R 3.3.1)                     </w:t>
      </w:r>
      <w:r>
        <w:br w:type="textWrapping"/>
      </w:r>
      <w:r>
        <w:rPr>
          <w:rStyle w:val="VerbatimChar"/>
        </w:rPr>
        <w:t xml:space="preserve">##  formatR        1.4        2016-05-09 CRAN (R 3.3.0)                     </w:t>
      </w:r>
      <w:r>
        <w:br w:type="textWrapping"/>
      </w:r>
      <w:r>
        <w:rPr>
          <w:rStyle w:val="VerbatimChar"/>
        </w:rPr>
        <w:t xml:space="preserve">##  Formula        1.2-1      2015-04-07 CRAN (R 3.2.3)                     </w:t>
      </w:r>
      <w:r>
        <w:br w:type="textWrapping"/>
      </w:r>
      <w:r>
        <w:rPr>
          <w:rStyle w:val="VerbatimChar"/>
        </w:rPr>
        <w:t xml:space="preserve">##  G2Sd           2.1.5      2015-12-07 CRAN (R 3.2.3)                     </w:t>
      </w:r>
      <w:r>
        <w:br w:type="textWrapping"/>
      </w:r>
      <w:r>
        <w:rPr>
          <w:rStyle w:val="VerbatimChar"/>
        </w:rPr>
        <w:t xml:space="preserve">##  geosphere      1.5-5      2016-06-15 CRAN (R 3.3.1)                     </w:t>
      </w:r>
      <w:r>
        <w:br w:type="textWrapping"/>
      </w:r>
      <w:r>
        <w:rPr>
          <w:rStyle w:val="VerbatimChar"/>
        </w:rPr>
        <w:t xml:space="preserve">##  ggmap          2.6.1      2016-01-23 CRAN (R 3.2.5)                     </w:t>
      </w:r>
      <w:r>
        <w:br w:type="textWrapping"/>
      </w:r>
      <w:r>
        <w:rPr>
          <w:rStyle w:val="VerbatimChar"/>
        </w:rPr>
        <w:t xml:space="preserve">##  ggplot2      * 2.1.0      2016-03-01 CRAN (R 3.3.1)                     </w:t>
      </w:r>
      <w:r>
        <w:br w:type="textWrapping"/>
      </w:r>
      <w:r>
        <w:rPr>
          <w:rStyle w:val="VerbatimChar"/>
        </w:rPr>
        <w:t xml:space="preserve">##  gridExtra      2.2.1      2016-07-14 Github (baptiste/gridextra@478a7d2)</w:t>
      </w:r>
      <w:r>
        <w:br w:type="textWrapping"/>
      </w:r>
      <w:r>
        <w:rPr>
          <w:rStyle w:val="VerbatimChar"/>
        </w:rPr>
        <w:t xml:space="preserve">##  gtable         0.2.0      2016-02-26 CRAN (R 3.2.4)                     </w:t>
      </w:r>
      <w:r>
        <w:br w:type="textWrapping"/>
      </w:r>
      <w:r>
        <w:rPr>
          <w:rStyle w:val="VerbatimChar"/>
        </w:rPr>
        <w:t xml:space="preserve">##  hdrcde         3.1        2013-10-19 CRAN (R 3.2.2)                     </w:t>
      </w:r>
      <w:r>
        <w:br w:type="textWrapping"/>
      </w:r>
      <w:r>
        <w:rPr>
          <w:rStyle w:val="VerbatimChar"/>
        </w:rPr>
        <w:t xml:space="preserve">##  highr          0.6        2016-05-09 CRAN (R 3.3.0)                     </w:t>
      </w:r>
      <w:r>
        <w:br w:type="textWrapping"/>
      </w:r>
      <w:r>
        <w:rPr>
          <w:rStyle w:val="VerbatimChar"/>
        </w:rPr>
        <w:t xml:space="preserve">##  Hmisc          3.17-4     2016-05-02 CRAN (R 3.3.0)                     </w:t>
      </w:r>
      <w:r>
        <w:br w:type="textWrapping"/>
      </w:r>
      <w:r>
        <w:rPr>
          <w:rStyle w:val="VerbatimChar"/>
        </w:rPr>
        <w:t xml:space="preserve">##  htmltools      0.3.5      2016-03-21 CRAN (R 3.2.4)                     </w:t>
      </w:r>
      <w:r>
        <w:br w:type="textWrapping"/>
      </w:r>
      <w:r>
        <w:rPr>
          <w:rStyle w:val="VerbatimChar"/>
        </w:rPr>
        <w:t xml:space="preserve">##  httpuv         1.3.3      2015-08-04 CRAN (R 3.2.3)                     </w:t>
      </w:r>
      <w:r>
        <w:br w:type="textWrapping"/>
      </w:r>
      <w:r>
        <w:rPr>
          <w:rStyle w:val="VerbatimChar"/>
        </w:rPr>
        <w:t xml:space="preserve">##  inline       * 0.3.14     2015-04-13 CRAN (R 3.2.2)                     </w:t>
      </w:r>
      <w:r>
        <w:br w:type="textWrapping"/>
      </w:r>
      <w:r>
        <w:rPr>
          <w:rStyle w:val="VerbatimChar"/>
        </w:rPr>
        <w:t xml:space="preserve">##  jpeg           0.1-8      2014-01-23 CRAN (R 3.2.2)                     </w:t>
      </w:r>
      <w:r>
        <w:br w:type="textWrapping"/>
      </w:r>
      <w:r>
        <w:rPr>
          <w:rStyle w:val="VerbatimChar"/>
        </w:rPr>
        <w:t xml:space="preserve">##  knitr        * 1.13.6     2016-07-17 Github (yihui/knitr@5235ec0)       </w:t>
      </w:r>
      <w:r>
        <w:br w:type="textWrapping"/>
      </w:r>
      <w:r>
        <w:rPr>
          <w:rStyle w:val="VerbatimChar"/>
        </w:rPr>
        <w:t xml:space="preserve">##  ktc11        * 0.1        2016-07-15 local                              </w:t>
      </w:r>
      <w:r>
        <w:br w:type="textWrapping"/>
      </w:r>
      <w:r>
        <w:rPr>
          <w:rStyle w:val="VerbatimChar"/>
        </w:rPr>
        <w:t xml:space="preserve">##  labeling       0.3        2014-08-23 CRAN (R 3.2.2)                     </w:t>
      </w:r>
      <w:r>
        <w:br w:type="textWrapping"/>
      </w:r>
      <w:r>
        <w:rPr>
          <w:rStyle w:val="VerbatimChar"/>
        </w:rPr>
        <w:t xml:space="preserve">##  lattice      * 0.20-33    2015-07-14 CRAN (R 3.2.2)                     </w:t>
      </w:r>
      <w:r>
        <w:br w:type="textWrapping"/>
      </w:r>
      <w:r>
        <w:rPr>
          <w:rStyle w:val="VerbatimChar"/>
        </w:rPr>
        <w:t xml:space="preserve">##  latticeExtra   0.6-28     2016-02-09 CRAN (R 3.2.5)                     </w:t>
      </w:r>
      <w:r>
        <w:br w:type="textWrapping"/>
      </w:r>
      <w:r>
        <w:rPr>
          <w:rStyle w:val="VerbatimChar"/>
        </w:rPr>
        <w:t xml:space="preserve">##  lazyeval       0.2.0      2016-06-12 CRAN (R 3.3.0)                     </w:t>
      </w:r>
      <w:r>
        <w:br w:type="textWrapping"/>
      </w:r>
      <w:r>
        <w:rPr>
          <w:rStyle w:val="VerbatimChar"/>
        </w:rPr>
        <w:t xml:space="preserve">##  legendMap      1.0        2016-07-07 Github (3wen/legendMap@707f00c)    </w:t>
      </w:r>
      <w:r>
        <w:br w:type="textWrapping"/>
      </w:r>
      <w:r>
        <w:rPr>
          <w:rStyle w:val="VerbatimChar"/>
        </w:rPr>
        <w:t xml:space="preserve">##  magrittr       1.5        2014-11-22 CRAN (R 3.3.0)                     </w:t>
      </w:r>
      <w:r>
        <w:br w:type="textWrapping"/>
      </w:r>
      <w:r>
        <w:rPr>
          <w:rStyle w:val="VerbatimChar"/>
        </w:rPr>
        <w:t xml:space="preserve">##  mapproj        1.2-4      2015-08-03 CRAN (R 3.2.2)                     </w:t>
      </w:r>
      <w:r>
        <w:br w:type="textWrapping"/>
      </w:r>
      <w:r>
        <w:rPr>
          <w:rStyle w:val="VerbatimChar"/>
        </w:rPr>
        <w:t xml:space="preserve">##  maps           3.1.0      2016-02-13 CRAN (R 3.2.5)                     </w:t>
      </w:r>
      <w:r>
        <w:br w:type="textWrapping"/>
      </w:r>
      <w:r>
        <w:rPr>
          <w:rStyle w:val="VerbatimChar"/>
        </w:rPr>
        <w:t xml:space="preserve">##  maptools     * 0.8-39     2016-01-30 CRAN (R 3.2.4)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3.2.5)                     </w:t>
      </w:r>
      <w:r>
        <w:br w:type="textWrapping"/>
      </w:r>
      <w:r>
        <w:rPr>
          <w:rStyle w:val="VerbatimChar"/>
        </w:rPr>
        <w:t xml:space="preserve">##  memoise        1.0.0      2016-01-29 CRAN (R 3.2.5)                     </w:t>
      </w:r>
      <w:r>
        <w:br w:type="textWrapping"/>
      </w:r>
      <w:r>
        <w:rPr>
          <w:rStyle w:val="VerbatimChar"/>
        </w:rPr>
        <w:t xml:space="preserve">##  mgcv           1.8-12     2016-03-03 CRAN (R 3.3.1)                     </w:t>
      </w:r>
      <w:r>
        <w:br w:type="textWrapping"/>
      </w:r>
      <w:r>
        <w:rPr>
          <w:rStyle w:val="VerbatimChar"/>
        </w:rPr>
        <w:t xml:space="preserve">##  mime           0.4        2015-09-03 CRAN (R 3.2.2)                     </w:t>
      </w:r>
      <w:r>
        <w:br w:type="textWrapping"/>
      </w:r>
      <w:r>
        <w:rPr>
          <w:rStyle w:val="VerbatimChar"/>
        </w:rPr>
        <w:t xml:space="preserve">##  munsell        0.4.3      2016-02-13 CRAN (R 3.2.4)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0.9-0      2016-01-24 CRAN (R 3.2.5)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princurve      1.1-12     2013-04-25 CRAN (R 3.2.3)                     </w:t>
      </w:r>
      <w:r>
        <w:br w:type="textWrapping"/>
      </w:r>
      <w:r>
        <w:rPr>
          <w:rStyle w:val="VerbatimChar"/>
        </w:rPr>
        <w:t xml:space="preserve">##  proto          0.3-10     2012-12-22 CRAN (R 3.2.2)                     </w:t>
      </w:r>
      <w:r>
        <w:br w:type="textWrapping"/>
      </w:r>
      <w:r>
        <w:rPr>
          <w:rStyle w:val="VerbatimChar"/>
        </w:rPr>
        <w:t xml:space="preserve">##  R6             2.1.2      2016-01-26 CRAN (R 3.2.5)                     </w:t>
      </w:r>
      <w:r>
        <w:br w:type="textWrapping"/>
      </w:r>
      <w:r>
        <w:rPr>
          <w:rStyle w:val="VerbatimChar"/>
        </w:rPr>
        <w:t xml:space="preserve">##  RColorBrewer   1.1-2      2014-12-07 CRAN (R 3.2.2)                     </w:t>
      </w:r>
      <w:r>
        <w:br w:type="textWrapping"/>
      </w:r>
      <w:r>
        <w:rPr>
          <w:rStyle w:val="VerbatimChar"/>
        </w:rPr>
        <w:t xml:space="preserve">##  Rcpp           0.12.6     2016-07-19 CRAN (R 3.3.1)                     </w:t>
      </w:r>
      <w:r>
        <w:br w:type="textWrapping"/>
      </w:r>
      <w:r>
        <w:rPr>
          <w:rStyle w:val="VerbatimChar"/>
        </w:rPr>
        <w:t xml:space="preserve">##  readr          0.2.2      2015-10-22 CRAN (R 3.2.3)                     </w:t>
      </w:r>
      <w:r>
        <w:br w:type="textWrapping"/>
      </w:r>
      <w:r>
        <w:rPr>
          <w:rStyle w:val="VerbatimChar"/>
        </w:rPr>
        <w:t xml:space="preserve">##  reshape2       1.4.1      2014-12-06 CRAN (R 3.2.2)                     </w:t>
      </w:r>
      <w:r>
        <w:br w:type="textWrapping"/>
      </w:r>
      <w:r>
        <w:rPr>
          <w:rStyle w:val="VerbatimChar"/>
        </w:rPr>
        <w:t xml:space="preserve">##  RgoogleMaps    1.2.0.7    2015-01-21 CRAN (R 3.2.2)                     </w:t>
      </w:r>
      <w:r>
        <w:br w:type="textWrapping"/>
      </w:r>
      <w:r>
        <w:rPr>
          <w:rStyle w:val="VerbatimChar"/>
        </w:rPr>
        <w:t xml:space="preserve">##  rJava          0.9-8      2016-01-07 CRAN (R 3.2.3)                     </w:t>
      </w:r>
      <w:r>
        <w:br w:type="textWrapping"/>
      </w:r>
      <w:r>
        <w:rPr>
          <w:rStyle w:val="VerbatimChar"/>
        </w:rPr>
        <w:t xml:space="preserve">##  rjson          0.2.15     2014-11-03 CRAN (R 3.2.2)                     </w:t>
      </w:r>
      <w:r>
        <w:br w:type="textWrapping"/>
      </w:r>
      <w:r>
        <w:rPr>
          <w:rStyle w:val="VerbatimChar"/>
        </w:rPr>
        <w:t xml:space="preserve">##  RJSONIO        1.3-0      2014-07-28 CRAN (R 3.2.2)                     </w:t>
      </w:r>
      <w:r>
        <w:br w:type="textWrapping"/>
      </w:r>
      <w:r>
        <w:rPr>
          <w:rStyle w:val="VerbatimChar"/>
        </w:rPr>
        <w:t xml:space="preserve">##  rmarkdown      1.0        2016-07-08 CRAN (R 3.3.1)                     </w:t>
      </w:r>
      <w:r>
        <w:br w:type="textWrapping"/>
      </w:r>
      <w:r>
        <w:rPr>
          <w:rStyle w:val="VerbatimChar"/>
        </w:rPr>
        <w:t xml:space="preserve">##  rpart          4.1-10     2015-06-29 CRAN (R 3.3.1)                     </w:t>
      </w:r>
      <w:r>
        <w:br w:type="textWrapping"/>
      </w:r>
      <w:r>
        <w:rPr>
          <w:rStyle w:val="VerbatimChar"/>
        </w:rPr>
        <w:t xml:space="preserve">##  scales       * 0.4.0      2016-02-26 CRAN (R 3.2.4)                     </w:t>
      </w:r>
      <w:r>
        <w:br w:type="textWrapping"/>
      </w:r>
      <w:r>
        <w:rPr>
          <w:rStyle w:val="VerbatimChar"/>
        </w:rPr>
        <w:t xml:space="preserve">##  shiny          0.13.2     2016-03-28 CRAN (R 3.2.4)                     </w:t>
      </w:r>
      <w:r>
        <w:br w:type="textWrapping"/>
      </w:r>
      <w:r>
        <w:rPr>
          <w:rStyle w:val="VerbatimChar"/>
        </w:rPr>
        <w:t xml:space="preserve">##  sp           * 1.2-3      2016-04-14 Github (cran/sp@a7c10d3)           </w:t>
      </w:r>
      <w:r>
        <w:br w:type="textWrapping"/>
      </w:r>
      <w:r>
        <w:rPr>
          <w:rStyle w:val="VerbatimChar"/>
        </w:rPr>
        <w:t xml:space="preserve">##  stringi        1.1.1      2016-05-27 CRAN (R 3.3.0)                     </w:t>
      </w:r>
      <w:r>
        <w:br w:type="textWrapping"/>
      </w:r>
      <w:r>
        <w:rPr>
          <w:rStyle w:val="VerbatimChar"/>
        </w:rPr>
        <w:t xml:space="preserve">##  stringr        1.0.0      2015-04-30 CRAN (R 3.3.0)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 2.4-0      2016-06-15 CRAN (R 3.3.1)                     </w:t>
      </w:r>
      <w:r>
        <w:br w:type="textWrapping"/>
      </w:r>
      <w:r>
        <w:rPr>
          <w:rStyle w:val="VerbatimChar"/>
        </w:rPr>
        <w:t xml:space="preserve">##  withr          1.0.2      2016-06-20 CRAN (R 3.3.0)                     </w:t>
      </w:r>
      <w:r>
        <w:br w:type="textWrapping"/>
      </w:r>
      <w:r>
        <w:rPr>
          <w:rStyle w:val="VerbatimChar"/>
        </w:rPr>
        <w:t xml:space="preserve">##  xlsx           0.5.7      2014-08-02 CRAN (R 3.2.3)                     </w:t>
      </w:r>
      <w:r>
        <w:br w:type="textWrapping"/>
      </w:r>
      <w:r>
        <w:rPr>
          <w:rStyle w:val="VerbatimChar"/>
        </w:rPr>
        <w:t xml:space="preserve">##  xlsxjars       0.6.1      2014-08-22 CRAN (R 3.2.3)                     </w:t>
      </w:r>
      <w:r>
        <w:br w:type="textWrapping"/>
      </w:r>
      <w:r>
        <w:rPr>
          <w:rStyle w:val="VerbatimChar"/>
        </w:rPr>
        <w:t xml:space="preserve">##  xtable         1.8-2      2016-02-05 CRAN (R 3.2.5)                     </w:t>
      </w:r>
      <w:r>
        <w:br w:type="textWrapping"/>
      </w:r>
      <w:r>
        <w:rPr>
          <w:rStyle w:val="VerbatimChar"/>
        </w:rPr>
        <w:t xml:space="preserve">##  yaml           2.1.13     2014-06-12 CRAN (R 3.2.2)</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dbd7c42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3" Target="doi:10.1007/s10816-015-9272-9" TargetMode="External" /><Relationship Type="http://schemas.openxmlformats.org/officeDocument/2006/relationships/hyperlink" Id="rId54"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2016-07-27</dcterms:created>
  <dcterms:modified xsi:type="dcterms:W3CDTF">2016-07-27</dcterms:modified>
</cp:coreProperties>
</file>